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B4DDD" w:rsidRDefault="00E1091A" w:rsidP="00DB4DDD">
      <w:pPr>
        <w:pStyle w:val="Subheads"/>
        <w:rPr>
          <w:noProof/>
          <w:lang w:val="en-US" w:eastAsia="en-US"/>
        </w:rPr>
      </w:pPr>
      <w:r>
        <w:rPr>
          <w:noProof/>
        </w:rPr>
        <mc:AlternateContent>
          <mc:Choice Requires="wps">
            <w:drawing>
              <wp:anchor distT="0" distB="0" distL="114300" distR="114300" simplePos="0" relativeHeight="251658240" behindDoc="0" locked="0" layoutInCell="1" allowOverlap="1" wp14:anchorId="0BAB5600" wp14:editId="470EFC31">
                <wp:simplePos x="0" y="0"/>
                <wp:positionH relativeFrom="column">
                  <wp:posOffset>5715</wp:posOffset>
                </wp:positionH>
                <wp:positionV relativeFrom="paragraph">
                  <wp:posOffset>-152400</wp:posOffset>
                </wp:positionV>
                <wp:extent cx="6049645" cy="1663700"/>
                <wp:effectExtent l="0" t="0" r="8255"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166370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67DD" w:rsidRDefault="000467DD" w:rsidP="00DB4DDD">
                            <w:pPr>
                              <w:rPr>
                                <w:rFonts w:ascii="Arial" w:hAnsi="Arial" w:cs="Arial"/>
                                <w:color w:val="00A4E4"/>
                                <w:sz w:val="44"/>
                              </w:rPr>
                            </w:pPr>
                            <w:r>
                              <w:rPr>
                                <w:rFonts w:ascii="Arial" w:hAnsi="Arial" w:cs="Arial"/>
                                <w:color w:val="00A4E4"/>
                                <w:sz w:val="44"/>
                              </w:rPr>
                              <w:t>Single Project Professional Indemnity</w:t>
                            </w:r>
                          </w:p>
                          <w:p w:rsidR="006F0208" w:rsidRDefault="006F0208" w:rsidP="00DB4DDD">
                            <w:pPr>
                              <w:rPr>
                                <w:rFonts w:ascii="Arial" w:hAnsi="Arial" w:cs="Arial"/>
                                <w:color w:val="00A4E4"/>
                                <w:sz w:val="44"/>
                              </w:rPr>
                            </w:pPr>
                            <w:r>
                              <w:rPr>
                                <w:rFonts w:ascii="Arial" w:hAnsi="Arial" w:cs="Arial"/>
                                <w:color w:val="00A4E4"/>
                                <w:sz w:val="44"/>
                              </w:rPr>
                              <w:t>Sales Narratives</w:t>
                            </w:r>
                          </w:p>
                          <w:p w:rsidR="006F0208" w:rsidRPr="0032284C" w:rsidRDefault="006F0208" w:rsidP="006F0208">
                            <w:pPr>
                              <w:spacing w:before="240"/>
                              <w:rPr>
                                <w:rFonts w:ascii="Arial" w:hAnsi="Arial"/>
                                <w:color w:val="00A4E4"/>
                                <w:sz w:val="36"/>
                              </w:rPr>
                            </w:pPr>
                            <w:r w:rsidRPr="0032284C">
                              <w:rPr>
                                <w:rFonts w:ascii="Arial" w:hAnsi="Arial"/>
                                <w:color w:val="00A4E4"/>
                                <w:sz w:val="36"/>
                              </w:rPr>
                              <w:t>Feel free to adapt, cut and paste any of this copy into your own marketing communications</w:t>
                            </w:r>
                          </w:p>
                          <w:p w:rsidR="006F0208" w:rsidRPr="00DB4DDD" w:rsidRDefault="006F0208" w:rsidP="00DB4DDD">
                            <w:pPr>
                              <w:rPr>
                                <w:rFonts w:ascii="Arial" w:hAnsi="Arial" w:cs="Arial"/>
                                <w:color w:val="00A4E4"/>
                                <w:sz w:val="44"/>
                              </w:rPr>
                            </w:pPr>
                          </w:p>
                        </w:txbxContent>
                      </wps:txbx>
                      <wps:bodyPr rot="0" vert="horz" wrap="square" lIns="162000" tIns="162000" rIns="162000" bIns="16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12pt;width:476.35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" fillcolor="#f2f2f2 [3052]" stroked="f">
                <v:textbox inset="4.5mm,4.5mm,4.5mm,4.5mm">
                  <w:txbxContent>
                    <w:p w:rsidR="000467DD" w:rsidRDefault="000467DD" w:rsidP="00DB4DDD">
                      <w:pPr>
                        <w:rPr>
                          <w:rFonts w:ascii="Arial" w:hAnsi="Arial" w:cs="Arial"/>
                          <w:color w:val="00A4E4"/>
                          <w:sz w:val="44"/>
                        </w:rPr>
                      </w:pPr>
                      <w:r>
                        <w:rPr>
                          <w:rFonts w:ascii="Arial" w:hAnsi="Arial" w:cs="Arial"/>
                          <w:color w:val="00A4E4"/>
                          <w:sz w:val="44"/>
                        </w:rPr>
                        <w:t>Single Project Professional Indemnity</w:t>
                      </w:r>
                    </w:p>
                    <w:p w:rsidR="006F0208" w:rsidRDefault="006F0208" w:rsidP="00DB4DDD">
                      <w:pPr>
                        <w:rPr>
                          <w:rFonts w:ascii="Arial" w:hAnsi="Arial" w:cs="Arial"/>
                          <w:color w:val="00A4E4"/>
                          <w:sz w:val="44"/>
                        </w:rPr>
                      </w:pPr>
                      <w:r>
                        <w:rPr>
                          <w:rFonts w:ascii="Arial" w:hAnsi="Arial" w:cs="Arial"/>
                          <w:color w:val="00A4E4"/>
                          <w:sz w:val="44"/>
                        </w:rPr>
                        <w:t>Sales Narratives</w:t>
                      </w:r>
                    </w:p>
                    <w:p w:rsidR="006F0208" w:rsidRPr="0032284C" w:rsidRDefault="006F0208" w:rsidP="006F0208">
                      <w:pPr>
                        <w:spacing w:before="240"/>
                        <w:rPr>
                          <w:rFonts w:ascii="Arial" w:hAnsi="Arial"/>
                          <w:color w:val="00A4E4"/>
                          <w:sz w:val="36"/>
                        </w:rPr>
                      </w:pPr>
                      <w:r w:rsidRPr="0032284C">
                        <w:rPr>
                          <w:rFonts w:ascii="Arial" w:hAnsi="Arial"/>
                          <w:color w:val="00A4E4"/>
                          <w:sz w:val="36"/>
                        </w:rPr>
                        <w:t>Feel free to adapt, cut and paste any of this copy into your own marketing communications</w:t>
                      </w:r>
                    </w:p>
                    <w:p w:rsidR="006F0208" w:rsidRPr="00DB4DDD" w:rsidRDefault="006F0208" w:rsidP="00DB4DDD">
                      <w:pPr>
                        <w:rPr>
                          <w:rFonts w:ascii="Arial" w:hAnsi="Arial" w:cs="Arial"/>
                          <w:color w:val="00A4E4"/>
                          <w:sz w:val="44"/>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24EDB480" wp14:editId="4E325E07">
                <wp:simplePos x="0" y="0"/>
                <wp:positionH relativeFrom="column">
                  <wp:posOffset>5556250</wp:posOffset>
                </wp:positionH>
                <wp:positionV relativeFrom="paragraph">
                  <wp:posOffset>-456565</wp:posOffset>
                </wp:positionV>
                <wp:extent cx="798830" cy="803275"/>
                <wp:effectExtent l="0" t="0" r="1270" b="0"/>
                <wp:wrapTight wrapText="bothSides">
                  <wp:wrapPolygon edited="0">
                    <wp:start x="0" y="0"/>
                    <wp:lineTo x="0" y="8196"/>
                    <wp:lineTo x="12362" y="8196"/>
                    <wp:lineTo x="12362" y="21002"/>
                    <wp:lineTo x="21119" y="21002"/>
                    <wp:lineTo x="21119" y="0"/>
                    <wp:lineTo x="0" y="0"/>
                  </wp:wrapPolygon>
                </wp:wrapTight>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803275"/>
                          <a:chOff x="8830" y="442"/>
                          <a:chExt cx="1258" cy="1265"/>
                        </a:xfrm>
                      </wpg:grpSpPr>
                      <wps:wsp>
                        <wps:cNvPr id="4" name="Rectangle 5"/>
                        <wps:cNvSpPr>
                          <a:spLocks noChangeArrowheads="1"/>
                        </wps:cNvSpPr>
                        <wps:spPr bwMode="auto">
                          <a:xfrm>
                            <a:off x="8830" y="442"/>
                            <a:ext cx="1256" cy="470"/>
                          </a:xfrm>
                          <a:prstGeom prst="rect">
                            <a:avLst/>
                          </a:prstGeom>
                          <a:solidFill>
                            <a:srgbClr val="00A4E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 name="Rectangle 6"/>
                        <wps:cNvSpPr>
                          <a:spLocks noChangeArrowheads="1"/>
                        </wps:cNvSpPr>
                        <wps:spPr bwMode="auto">
                          <a:xfrm>
                            <a:off x="9617" y="448"/>
                            <a:ext cx="471" cy="1259"/>
                          </a:xfrm>
                          <a:prstGeom prst="rect">
                            <a:avLst/>
                          </a:prstGeom>
                          <a:solidFill>
                            <a:srgbClr val="00A4E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37.5pt;margin-top:-35.95pt;width:62.9pt;height:63.25pt;z-index:251659264" coordorigin="8830,442" coordsize="125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">
                <v:rect id="Rectangle 5" o:spid="_x0000_s1027" style="position:absolute;left:8830;top:442;width:1256;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FsUA&#10;AADaAAAADwAAAGRycy9kb3ducmV2LnhtbESPT2vCQBTE7wW/w/KEXkrdWIp/ohvRotCDUNTi+Zl9&#10;zabJvg3ZrUm/fVcQehxm5jfMctXbWlyp9aVjBeNRAoI4d7rkQsHnafc8A+EDssbaMSn4JQ+rbPCw&#10;xFS7jg90PYZCRAj7FBWYEJpUSp8bsuhHriGO3pdrLYYo20LqFrsIt7V8SZKJtFhyXDDY0JuhvDr+&#10;WAX0PZ9dniq7+Vi783TfHfrtbmuUehz26wWIQH34D9/b71rBK9yuxBs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MWxQAAANoAAAAPAAAAAAAAAAAAAAAAAJgCAABkcnMv&#10;ZG93bnJldi54bWxQSwUGAAAAAAQABAD1AAAAigMAAAAA&#10;" fillcolor="#00a4e4" stroked="f" strokecolor="#4a7ebb" strokeweight="1.5pt">
                  <v:shadow opacity="22938f" offset="0"/>
                  <v:textbox inset=",7.2pt,,7.2pt"/>
                </v:rect>
                <v:rect id="Rectangle 6" o:spid="_x0000_s1028" style="position:absolute;left:9617;top:448;width:471;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2jcUA&#10;AADaAAAADwAAAGRycy9kb3ducmV2LnhtbESPT2vCQBTE7wW/w/KEXkrdWKh/ohvRotCDUNTi+Zl9&#10;zabJvg3ZrUm/fVcQehxm5jfMctXbWlyp9aVjBeNRAoI4d7rkQsHnafc8A+EDssbaMSn4JQ+rbPCw&#10;xFS7jg90PYZCRAj7FBWYEJpUSp8bsuhHriGO3pdrLYYo20LqFrsIt7V8SZKJtFhyXDDY0JuhvDr+&#10;WAX0PZ9dniq7+Vi783TfHfrtbmuUehz26wWIQH34D9/b71rBK9yuxBs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vaNxQAAANoAAAAPAAAAAAAAAAAAAAAAAJgCAABkcnMv&#10;ZG93bnJldi54bWxQSwUGAAAAAAQABAD1AAAAigMAAAAA&#10;" fillcolor="#00a4e4" stroked="f" strokecolor="#4a7ebb" strokeweight="1.5pt">
                  <v:shadow opacity="22938f" offset="0"/>
                  <v:textbox inset=",7.2pt,,7.2pt"/>
                </v:rect>
                <w10:wrap type="tight"/>
              </v:group>
            </w:pict>
          </mc:Fallback>
        </mc:AlternateContent>
      </w:r>
      <w:r w:rsidR="00957AD6">
        <w:rPr>
          <w:noProof/>
          <w:lang w:val="en-US" w:eastAsia="en-US"/>
        </w:rPr>
        <w:t>SPPI Movie</w:t>
      </w:r>
      <w:r w:rsidR="006F0208">
        <w:rPr>
          <w:noProof/>
          <w:lang w:val="en-US" w:eastAsia="en-US"/>
        </w:rPr>
        <w:t xml:space="preserve"> Summary</w:t>
      </w:r>
    </w:p>
    <w:p w:rsidR="00957AD6" w:rsidRDefault="00957AD6" w:rsidP="00957AD6">
      <w:pPr>
        <w:pStyle w:val="Body"/>
      </w:pPr>
      <w:r>
        <w:t>Single Project Professional Indemnity insurance is designed for an individual construction project and the professionals working on it.  Although these professionals will have their own annual PI policies, setting up a separate one for a large construction project has real benefits for the owner and for joint ventures.</w:t>
      </w:r>
    </w:p>
    <w:p w:rsidR="00957AD6" w:rsidRDefault="0081622E" w:rsidP="00957AD6">
      <w:pPr>
        <w:pStyle w:val="Body"/>
        <w:numPr>
          <w:ilvl w:val="0"/>
          <w:numId w:val="21"/>
        </w:numPr>
      </w:pPr>
      <w:r>
        <w:t xml:space="preserve">SPPI provides </w:t>
      </w:r>
      <w:r w:rsidR="00957AD6">
        <w:t>the right insurance protection for the project - avoiding the risks of relying on construction professionals’ own PI policies (like inadequate policy limits or policies not renewed years after the project – when claims can still come in)</w:t>
      </w:r>
    </w:p>
    <w:p w:rsidR="00957AD6" w:rsidRDefault="00957AD6" w:rsidP="00957AD6">
      <w:pPr>
        <w:pStyle w:val="Body"/>
        <w:numPr>
          <w:ilvl w:val="0"/>
          <w:numId w:val="21"/>
        </w:numPr>
      </w:pPr>
      <w:r>
        <w:t>SPPI makes claims handling easier and quicker because it covers all the professionals in the project so there’s no wrangling between different consultants, contractors and their insurance companies about who’s liable for a claim.</w:t>
      </w:r>
    </w:p>
    <w:p w:rsidR="00957AD6" w:rsidRDefault="00957AD6" w:rsidP="00957AD6">
      <w:pPr>
        <w:pStyle w:val="Body"/>
        <w:numPr>
          <w:ilvl w:val="0"/>
          <w:numId w:val="21"/>
        </w:numPr>
      </w:pPr>
      <w:r>
        <w:t>The SPPI premium is kn</w:t>
      </w:r>
      <w:r w:rsidR="0081622E">
        <w:t xml:space="preserve">own at the outset and </w:t>
      </w:r>
      <w:r>
        <w:t>can</w:t>
      </w:r>
      <w:r w:rsidR="0081622E">
        <w:t xml:space="preserve"> be</w:t>
      </w:r>
      <w:r>
        <w:t xml:space="preserve"> factor</w:t>
      </w:r>
      <w:r w:rsidR="0081622E">
        <w:t>ed</w:t>
      </w:r>
      <w:r>
        <w:t xml:space="preserve"> into the project costs.  Also cover is consistent across all of the professionals involved throughout the project and for years beyond. </w:t>
      </w:r>
    </w:p>
    <w:p w:rsidR="00867326" w:rsidRDefault="00867326" w:rsidP="0081622E">
      <w:pPr>
        <w:pStyle w:val="Body"/>
        <w:numPr>
          <w:ilvl w:val="0"/>
          <w:numId w:val="21"/>
        </w:numPr>
      </w:pPr>
      <w:r>
        <w:t xml:space="preserve">SPPI is also ideal for </w:t>
      </w:r>
      <w:r w:rsidRPr="001F1F0E">
        <w:t xml:space="preserve">Joint Ventures </w:t>
      </w:r>
      <w:r>
        <w:t>of c</w:t>
      </w:r>
      <w:r w:rsidR="00D155C0">
        <w:t>onstruction professionals</w:t>
      </w:r>
      <w:r>
        <w:t xml:space="preserve"> </w:t>
      </w:r>
      <w:r w:rsidRPr="001F1F0E">
        <w:t>pool</w:t>
      </w:r>
      <w:r>
        <w:t>ing</w:t>
      </w:r>
      <w:r w:rsidRPr="001F1F0E">
        <w:t xml:space="preserve"> their resources</w:t>
      </w:r>
      <w:r w:rsidR="0081622E">
        <w:t xml:space="preserve">:  they benefit from efficient </w:t>
      </w:r>
      <w:r>
        <w:t xml:space="preserve">claims resolution, cover and </w:t>
      </w:r>
      <w:r w:rsidR="00D155C0">
        <w:t xml:space="preserve">the </w:t>
      </w:r>
      <w:r>
        <w:t>cos</w:t>
      </w:r>
      <w:r w:rsidR="0081622E">
        <w:t xml:space="preserve">t transparency advantages of </w:t>
      </w:r>
      <w:r>
        <w:t>SPPI - which also means that construction professionals’ individual PI policies aren’t exposed to other JV members’ performance risks.</w:t>
      </w:r>
    </w:p>
    <w:p w:rsidR="00867326" w:rsidRDefault="00867326" w:rsidP="00867326">
      <w:pPr>
        <w:pStyle w:val="Body"/>
        <w:numPr>
          <w:ilvl w:val="0"/>
          <w:numId w:val="21"/>
        </w:numPr>
      </w:pPr>
      <w:r>
        <w:t xml:space="preserve">Underpinning this all SPPI clients are entitled to 4 hours complimentary service from Specialist Construction Lawyers for confidential reviews </w:t>
      </w:r>
      <w:r w:rsidR="00D00385">
        <w:t xml:space="preserve">of the </w:t>
      </w:r>
      <w:r>
        <w:t xml:space="preserve">construction contracts they are entering </w:t>
      </w:r>
      <w:r w:rsidR="00D00385">
        <w:t>- and expert advice about them</w:t>
      </w:r>
      <w:r>
        <w:t>.</w:t>
      </w:r>
    </w:p>
    <w:p w:rsidR="00957AD6" w:rsidRDefault="00957AD6" w:rsidP="00957AD6">
      <w:pPr>
        <w:pStyle w:val="Body"/>
      </w:pPr>
      <w:r>
        <w:t>Our SPPI policies are ideal for constr</w:t>
      </w:r>
      <w:r w:rsidR="003370B9">
        <w:t>uction projects valued over $5</w:t>
      </w:r>
      <w:r>
        <w:t>0 million, and AIG have been underwriting them throughout the world for years - to find out more explore the rest of this app!</w:t>
      </w:r>
    </w:p>
    <w:p w:rsidR="001D2CE5" w:rsidRDefault="001D2CE5" w:rsidP="006F0208">
      <w:pPr>
        <w:pStyle w:val="Subheads"/>
      </w:pPr>
    </w:p>
    <w:p w:rsidR="00FD2AD9" w:rsidRDefault="00FD2AD9" w:rsidP="006F0208">
      <w:pPr>
        <w:pStyle w:val="Subheads"/>
      </w:pPr>
    </w:p>
    <w:p w:rsidR="00FD2AD9" w:rsidRDefault="00FD2AD9" w:rsidP="006F0208">
      <w:pPr>
        <w:pStyle w:val="Subheads"/>
      </w:pPr>
    </w:p>
    <w:p w:rsidR="00FD2AD9" w:rsidRDefault="00FD2AD9" w:rsidP="006F0208">
      <w:pPr>
        <w:pStyle w:val="Subheads"/>
      </w:pPr>
    </w:p>
    <w:p w:rsidR="006F0208" w:rsidRDefault="00957AD6" w:rsidP="006F0208">
      <w:pPr>
        <w:pStyle w:val="Subheads"/>
      </w:pPr>
      <w:r>
        <w:lastRenderedPageBreak/>
        <w:t>SPPI S</w:t>
      </w:r>
      <w:r w:rsidR="006F0208" w:rsidRPr="00F15370">
        <w:t>ales Themes</w:t>
      </w:r>
    </w:p>
    <w:p w:rsidR="00957AD6" w:rsidRPr="001F1F0E" w:rsidRDefault="00957AD6" w:rsidP="00957AD6">
      <w:pPr>
        <w:spacing w:after="200" w:line="276" w:lineRule="auto"/>
        <w:rPr>
          <w:rFonts w:ascii="Arial" w:hAnsi="Arial"/>
          <w:color w:val="7F7F7F" w:themeColor="text1" w:themeTint="80"/>
          <w:sz w:val="20"/>
          <w:szCs w:val="19"/>
        </w:rPr>
      </w:pPr>
      <w:r w:rsidRPr="001F1F0E">
        <w:rPr>
          <w:rFonts w:ascii="Arial" w:hAnsi="Arial"/>
          <w:color w:val="7F7F7F" w:themeColor="text1" w:themeTint="80"/>
          <w:sz w:val="20"/>
          <w:szCs w:val="19"/>
        </w:rPr>
        <w:t xml:space="preserve">Unlike annually renewable Professional Indemnity insurance, Single Project Professional Indemnity (SPPI) insurance is arranged around a specific construction project. This has real benefits for construction </w:t>
      </w:r>
      <w:r w:rsidR="00D155C0">
        <w:rPr>
          <w:rFonts w:ascii="Arial" w:hAnsi="Arial"/>
          <w:color w:val="7F7F7F" w:themeColor="text1" w:themeTint="80"/>
          <w:sz w:val="20"/>
          <w:szCs w:val="19"/>
        </w:rPr>
        <w:t xml:space="preserve">professionals, joint ventures and </w:t>
      </w:r>
      <w:r w:rsidRPr="001F1F0E">
        <w:rPr>
          <w:rFonts w:ascii="Arial" w:hAnsi="Arial"/>
          <w:color w:val="7F7F7F" w:themeColor="text1" w:themeTint="80"/>
          <w:sz w:val="20"/>
          <w:szCs w:val="19"/>
        </w:rPr>
        <w:t>project owners. Here are some of them.</w:t>
      </w:r>
    </w:p>
    <w:p w:rsidR="001D2CE5" w:rsidRDefault="001D2CE5" w:rsidP="00957AD6">
      <w:pPr>
        <w:rPr>
          <w:rFonts w:ascii="Arial" w:hAnsi="Arial"/>
          <w:b/>
          <w:color w:val="7F7F7F" w:themeColor="text1" w:themeTint="80"/>
          <w:sz w:val="20"/>
          <w:szCs w:val="19"/>
        </w:rPr>
      </w:pPr>
    </w:p>
    <w:p w:rsidR="001D2CE5" w:rsidRDefault="001D2CE5" w:rsidP="00957AD6">
      <w:pPr>
        <w:rPr>
          <w:rFonts w:ascii="Arial" w:hAnsi="Arial"/>
          <w:b/>
          <w:color w:val="7F7F7F" w:themeColor="text1" w:themeTint="80"/>
          <w:sz w:val="20"/>
          <w:szCs w:val="19"/>
        </w:rPr>
      </w:pPr>
    </w:p>
    <w:p w:rsidR="001D2CE5" w:rsidRDefault="001D2CE5" w:rsidP="00957AD6">
      <w:pPr>
        <w:rPr>
          <w:rFonts w:ascii="Arial" w:hAnsi="Arial"/>
          <w:b/>
          <w:color w:val="7F7F7F" w:themeColor="text1" w:themeTint="80"/>
          <w:sz w:val="20"/>
          <w:szCs w:val="19"/>
        </w:rPr>
      </w:pPr>
    </w:p>
    <w:p w:rsidR="00957AD6" w:rsidRPr="00957AD6" w:rsidRDefault="00957AD6" w:rsidP="00957AD6">
      <w:pPr>
        <w:rPr>
          <w:rFonts w:ascii="Arial" w:hAnsi="Arial"/>
          <w:b/>
          <w:color w:val="7F7F7F" w:themeColor="text1" w:themeTint="80"/>
          <w:sz w:val="20"/>
          <w:szCs w:val="19"/>
        </w:rPr>
      </w:pPr>
      <w:r w:rsidRPr="00957AD6">
        <w:rPr>
          <w:rFonts w:ascii="Arial" w:hAnsi="Arial"/>
          <w:b/>
          <w:color w:val="7F7F7F" w:themeColor="text1" w:themeTint="80"/>
          <w:sz w:val="20"/>
          <w:szCs w:val="19"/>
        </w:rPr>
        <w:t>CONTROL</w:t>
      </w:r>
    </w:p>
    <w:p w:rsidR="00957AD6" w:rsidRDefault="00957AD6" w:rsidP="00957AD6"/>
    <w:p w:rsidR="00957AD6" w:rsidRDefault="003370B9" w:rsidP="00957AD6">
      <w:pPr>
        <w:pStyle w:val="bullets"/>
        <w:numPr>
          <w:ilvl w:val="0"/>
          <w:numId w:val="0"/>
        </w:numPr>
      </w:pPr>
      <w:r>
        <w:t>A single PI policy for the contract provides cover certainty for projects compared to annually renewable PI policies for each project part</w:t>
      </w:r>
      <w:r w:rsidR="00D155C0">
        <w:t>icipant involved</w:t>
      </w:r>
      <w:r>
        <w:t xml:space="preserve"> for a number of reasons</w:t>
      </w:r>
      <w:r w:rsidR="00957AD6" w:rsidRPr="00957AD6">
        <w:t>.</w:t>
      </w:r>
      <w:r w:rsidR="00D155C0">
        <w:t xml:space="preserve"> Project participants have more control over the scope of cover, limits and policy duration of SPPI than relying on individual PI policies. </w:t>
      </w:r>
      <w:r w:rsidR="00957AD6" w:rsidRPr="00957AD6">
        <w:t xml:space="preserve">This avoids potential coverage problems with contractors’ and consultants’ </w:t>
      </w:r>
      <w:r w:rsidR="00F75325">
        <w:t xml:space="preserve">own </w:t>
      </w:r>
      <w:r w:rsidR="00957AD6" w:rsidRPr="00957AD6">
        <w:t>PI policies in the event of a claim such as:</w:t>
      </w:r>
    </w:p>
    <w:p w:rsidR="00957AD6" w:rsidRDefault="00957AD6" w:rsidP="00957AD6">
      <w:pPr>
        <w:pStyle w:val="bullets"/>
        <w:numPr>
          <w:ilvl w:val="0"/>
          <w:numId w:val="0"/>
        </w:numPr>
        <w:rPr>
          <w:u w:val="single"/>
        </w:rPr>
      </w:pPr>
    </w:p>
    <w:p w:rsidR="00957AD6" w:rsidRPr="00957AD6" w:rsidRDefault="00957AD6" w:rsidP="00957AD6">
      <w:pPr>
        <w:pStyle w:val="bullets"/>
      </w:pPr>
      <w:r w:rsidRPr="00957AD6">
        <w:rPr>
          <w:u w:val="single"/>
        </w:rPr>
        <w:t>Cover eroded by another claim</w:t>
      </w:r>
      <w:r w:rsidRPr="00957AD6">
        <w:t>.</w:t>
      </w:r>
      <w:r w:rsidR="00D155C0">
        <w:t xml:space="preserve"> </w:t>
      </w:r>
      <w:r w:rsidR="00F75325">
        <w:t>This could be a large claim under a</w:t>
      </w:r>
      <w:r w:rsidRPr="00957AD6">
        <w:t xml:space="preserve"> completely separate project that the contractor or consultant has worked on, that’s insured on their annual PI policy.  </w:t>
      </w:r>
    </w:p>
    <w:p w:rsidR="00957AD6" w:rsidRPr="00957AD6" w:rsidRDefault="00957AD6" w:rsidP="00957AD6">
      <w:pPr>
        <w:rPr>
          <w:rFonts w:ascii="Arial" w:hAnsi="Arial"/>
          <w:color w:val="7F7F7F" w:themeColor="text1" w:themeTint="80"/>
          <w:sz w:val="20"/>
        </w:rPr>
      </w:pPr>
    </w:p>
    <w:p w:rsidR="00957AD6" w:rsidRPr="00957AD6" w:rsidRDefault="00957AD6" w:rsidP="00957AD6">
      <w:pPr>
        <w:pStyle w:val="bullets"/>
      </w:pPr>
      <w:r w:rsidRPr="00957AD6">
        <w:rPr>
          <w:u w:val="single"/>
        </w:rPr>
        <w:t>Policy not maintained</w:t>
      </w:r>
      <w:r w:rsidR="00D155C0">
        <w:t xml:space="preserve">. </w:t>
      </w:r>
      <w:r w:rsidRPr="00957AD6">
        <w:t>When the project is finished project owners have little control over whether contractors and consultants who worked on the project renew their PI policies. (A PI claim can surface years after the events that caused it and the PI policy needs to be in force when the claim is actually made).</w:t>
      </w:r>
    </w:p>
    <w:p w:rsidR="00957AD6" w:rsidRDefault="00957AD6" w:rsidP="00957AD6">
      <w:pPr>
        <w:rPr>
          <w:rFonts w:asciiTheme="minorHAnsi" w:eastAsiaTheme="minorHAnsi" w:hAnsiTheme="minorHAnsi" w:cstheme="minorBidi"/>
          <w:sz w:val="22"/>
          <w:szCs w:val="22"/>
          <w:lang w:eastAsia="en-US"/>
        </w:rPr>
      </w:pPr>
    </w:p>
    <w:p w:rsidR="00957AD6" w:rsidRPr="00957AD6" w:rsidRDefault="00F75325" w:rsidP="00957AD6">
      <w:pPr>
        <w:pStyle w:val="bullets"/>
      </w:pPr>
      <w:r>
        <w:rPr>
          <w:u w:val="single"/>
        </w:rPr>
        <w:t>Transparency</w:t>
      </w:r>
      <w:r w:rsidR="00957AD6" w:rsidRPr="00957AD6">
        <w:t xml:space="preserve">. </w:t>
      </w:r>
      <w:r>
        <w:t>With SPPI the cost of the PI coverage for the entire project is known up front and avoids the possibility of incurring additional costs from project participants for their own PI premiums relating to the project.</w:t>
      </w:r>
    </w:p>
    <w:p w:rsidR="00957AD6" w:rsidRDefault="00957AD6" w:rsidP="00957AD6">
      <w:pPr>
        <w:rPr>
          <w:rFonts w:asciiTheme="minorHAnsi" w:eastAsiaTheme="minorHAnsi" w:hAnsiTheme="minorHAnsi" w:cstheme="minorBidi"/>
          <w:sz w:val="22"/>
          <w:szCs w:val="22"/>
          <w:lang w:eastAsia="en-US"/>
        </w:rPr>
      </w:pPr>
    </w:p>
    <w:p w:rsidR="00957AD6" w:rsidRPr="001F1F0E" w:rsidRDefault="00957AD6" w:rsidP="001F1F0E">
      <w:pPr>
        <w:pStyle w:val="Body"/>
      </w:pPr>
      <w:r w:rsidRPr="001F1F0E">
        <w:t>Having a specific SPPI policy where the cover and limits are specifically designed around the requirements of the project, safeguards</w:t>
      </w:r>
      <w:r w:rsidR="00D72814">
        <w:t xml:space="preserve"> the project participants and</w:t>
      </w:r>
      <w:r w:rsidRPr="001F1F0E">
        <w:t xml:space="preserve"> project owners from all of the above issues.</w:t>
      </w:r>
    </w:p>
    <w:p w:rsidR="00957AD6" w:rsidRDefault="00957AD6" w:rsidP="00957AD6">
      <w:pPr>
        <w:rPr>
          <w:rFonts w:asciiTheme="minorHAnsi" w:eastAsiaTheme="minorHAnsi" w:hAnsiTheme="minorHAnsi" w:cstheme="minorBidi"/>
          <w:sz w:val="22"/>
          <w:szCs w:val="22"/>
          <w:lang w:eastAsia="en-US"/>
        </w:rPr>
      </w:pPr>
    </w:p>
    <w:p w:rsidR="00957AD6" w:rsidRPr="00957AD6" w:rsidRDefault="00957AD6" w:rsidP="00957AD6">
      <w:pPr>
        <w:rPr>
          <w:rFonts w:ascii="Arial" w:hAnsi="Arial"/>
          <w:b/>
          <w:color w:val="7F7F7F" w:themeColor="text1" w:themeTint="80"/>
          <w:sz w:val="20"/>
          <w:szCs w:val="19"/>
        </w:rPr>
      </w:pPr>
      <w:r w:rsidRPr="00957AD6">
        <w:rPr>
          <w:rFonts w:ascii="Arial" w:hAnsi="Arial"/>
          <w:b/>
          <w:color w:val="7F7F7F" w:themeColor="text1" w:themeTint="80"/>
          <w:sz w:val="20"/>
          <w:szCs w:val="19"/>
        </w:rPr>
        <w:t>CLAIMS RESOLUTION</w:t>
      </w:r>
    </w:p>
    <w:p w:rsidR="00957AD6" w:rsidRDefault="00957AD6" w:rsidP="00957AD6">
      <w:pPr>
        <w:rPr>
          <w:rFonts w:asciiTheme="minorHAnsi" w:eastAsiaTheme="minorHAnsi" w:hAnsiTheme="minorHAnsi" w:cstheme="minorBidi"/>
          <w:b/>
          <w:sz w:val="22"/>
          <w:szCs w:val="22"/>
          <w:u w:val="single"/>
          <w:lang w:eastAsia="en-US"/>
        </w:rPr>
      </w:pPr>
    </w:p>
    <w:p w:rsidR="00957AD6" w:rsidRPr="00957AD6" w:rsidRDefault="00957AD6" w:rsidP="00957AD6">
      <w:pPr>
        <w:pStyle w:val="bullets"/>
        <w:numPr>
          <w:ilvl w:val="0"/>
          <w:numId w:val="0"/>
        </w:numPr>
      </w:pPr>
      <w:r w:rsidRPr="00957AD6">
        <w:t xml:space="preserve">Project owners relying on their contractors’ and consultants’ annual PI policies can also face prolonged delays and extra costs when a PI claim arises because of the need to prove which consultants or contractors are liable for the loss and also their share of liability:  </w:t>
      </w:r>
    </w:p>
    <w:p w:rsidR="00957AD6" w:rsidRDefault="00957AD6" w:rsidP="00957AD6">
      <w:pPr>
        <w:rPr>
          <w:rFonts w:asciiTheme="minorHAnsi" w:eastAsiaTheme="minorHAnsi" w:hAnsiTheme="minorHAnsi" w:cstheme="minorBidi"/>
          <w:sz w:val="22"/>
          <w:szCs w:val="22"/>
          <w:lang w:eastAsia="en-US"/>
        </w:rPr>
      </w:pPr>
    </w:p>
    <w:p w:rsidR="00957AD6" w:rsidRPr="00957AD6" w:rsidRDefault="00957AD6" w:rsidP="00957AD6">
      <w:pPr>
        <w:pStyle w:val="bullets"/>
      </w:pPr>
      <w:r w:rsidRPr="00957AD6">
        <w:rPr>
          <w:u w:val="single"/>
        </w:rPr>
        <w:t>Overlapping project involvement</w:t>
      </w:r>
      <w:r w:rsidRPr="00957AD6">
        <w:t xml:space="preserve">.  Proving liability against </w:t>
      </w:r>
      <w:r w:rsidR="00D72814">
        <w:t xml:space="preserve">an individual project participant </w:t>
      </w:r>
      <w:r w:rsidRPr="00957AD6">
        <w:t>party can be very complex as several parties may have had different degrees of involvement at different times around the issue that is the subject of the PI claim.</w:t>
      </w:r>
    </w:p>
    <w:p w:rsidR="00957AD6" w:rsidRPr="00957AD6" w:rsidRDefault="00957AD6" w:rsidP="00957AD6">
      <w:pPr>
        <w:pStyle w:val="bullets"/>
      </w:pPr>
      <w:r w:rsidRPr="00957AD6">
        <w:rPr>
          <w:u w:val="single"/>
        </w:rPr>
        <w:t>Separate defences</w:t>
      </w:r>
      <w:r w:rsidRPr="00957AD6">
        <w:t>. The presence of different PI polic</w:t>
      </w:r>
      <w:r w:rsidR="00D72814">
        <w:t>ies for the professionals</w:t>
      </w:r>
      <w:r w:rsidRPr="00957AD6">
        <w:t xml:space="preserve"> involved in a project means that the individual insurers involved will defend their policyholders’ interests as well as they can – causing inevitable delay and expense.</w:t>
      </w:r>
    </w:p>
    <w:p w:rsidR="00D72814" w:rsidRDefault="00957AD6" w:rsidP="00D72814">
      <w:pPr>
        <w:pStyle w:val="bullets"/>
      </w:pPr>
      <w:r w:rsidRPr="00957AD6">
        <w:rPr>
          <w:u w:val="single"/>
        </w:rPr>
        <w:lastRenderedPageBreak/>
        <w:t>Different apportionments</w:t>
      </w:r>
      <w:r w:rsidRPr="00957AD6">
        <w:t>.  Even after different parties’ responsibilities for the loss has been acknowledged, disputes may arise over the exact apportionment of costs because of different approaches to claims settlement by the various PI insurers involved.</w:t>
      </w:r>
    </w:p>
    <w:p w:rsidR="00D72814" w:rsidRDefault="00D72814" w:rsidP="00D72814">
      <w:pPr>
        <w:pStyle w:val="bullets"/>
        <w:numPr>
          <w:ilvl w:val="0"/>
          <w:numId w:val="0"/>
        </w:numPr>
        <w:ind w:left="1070"/>
      </w:pPr>
    </w:p>
    <w:p w:rsidR="00957AD6" w:rsidRPr="001F1F0E" w:rsidRDefault="00957AD6" w:rsidP="00D72814">
      <w:pPr>
        <w:pStyle w:val="bullets"/>
        <w:numPr>
          <w:ilvl w:val="0"/>
          <w:numId w:val="0"/>
        </w:numPr>
        <w:ind w:left="710"/>
      </w:pPr>
      <w:r w:rsidRPr="001F1F0E">
        <w:t xml:space="preserve">Our SPPI policy avoids the delay and expense of construction professionals defending their individual positions by insuring all </w:t>
      </w:r>
      <w:r w:rsidR="00D72814">
        <w:t xml:space="preserve">the professional parties </w:t>
      </w:r>
      <w:r w:rsidRPr="001F1F0E">
        <w:t>under the same policy</w:t>
      </w:r>
      <w:r w:rsidR="00D72814">
        <w:t>.</w:t>
      </w:r>
      <w:r w:rsidRPr="001F1F0E">
        <w:t xml:space="preserve"> </w:t>
      </w:r>
    </w:p>
    <w:p w:rsidR="00957AD6" w:rsidRDefault="00957AD6" w:rsidP="00957AD6">
      <w:pPr>
        <w:rPr>
          <w:rFonts w:asciiTheme="minorHAnsi" w:eastAsiaTheme="minorHAnsi" w:hAnsiTheme="minorHAnsi" w:cstheme="minorBidi"/>
          <w:b/>
          <w:sz w:val="22"/>
          <w:szCs w:val="22"/>
          <w:u w:val="single"/>
          <w:lang w:eastAsia="en-US"/>
        </w:rPr>
      </w:pPr>
    </w:p>
    <w:p w:rsidR="00957AD6" w:rsidRPr="00C23410" w:rsidRDefault="001F1F0E" w:rsidP="00957AD6">
      <w:pPr>
        <w:rPr>
          <w:rFonts w:asciiTheme="minorHAnsi" w:eastAsiaTheme="minorHAnsi" w:hAnsiTheme="minorHAnsi" w:cstheme="minorBidi"/>
          <w:b/>
          <w:sz w:val="22"/>
          <w:szCs w:val="22"/>
          <w:u w:val="single"/>
          <w:lang w:eastAsia="en-US"/>
        </w:rPr>
      </w:pPr>
      <w:r w:rsidRPr="00C23410">
        <w:rPr>
          <w:rFonts w:ascii="Arial" w:hAnsi="Arial"/>
          <w:b/>
          <w:color w:val="7F7F7F" w:themeColor="text1" w:themeTint="80"/>
          <w:sz w:val="20"/>
          <w:szCs w:val="19"/>
        </w:rPr>
        <w:t>T</w:t>
      </w:r>
      <w:r w:rsidR="00957AD6" w:rsidRPr="00C23410">
        <w:rPr>
          <w:rFonts w:ascii="Arial" w:hAnsi="Arial"/>
          <w:b/>
          <w:color w:val="7F7F7F" w:themeColor="text1" w:themeTint="80"/>
          <w:sz w:val="20"/>
          <w:szCs w:val="19"/>
        </w:rPr>
        <w:t>RANSPARENCY AND CONSISTENCY</w:t>
      </w:r>
    </w:p>
    <w:p w:rsidR="00957AD6" w:rsidRPr="00C23410" w:rsidRDefault="00957AD6" w:rsidP="00957AD6">
      <w:pPr>
        <w:rPr>
          <w:rFonts w:asciiTheme="minorHAnsi" w:eastAsiaTheme="minorHAnsi" w:hAnsiTheme="minorHAnsi" w:cstheme="minorBidi"/>
          <w:sz w:val="22"/>
          <w:szCs w:val="22"/>
          <w:u w:val="single"/>
          <w:lang w:eastAsia="en-US"/>
        </w:rPr>
      </w:pPr>
    </w:p>
    <w:p w:rsidR="00957AD6" w:rsidRPr="001F1F0E" w:rsidRDefault="00957AD6" w:rsidP="001F1F0E">
      <w:pPr>
        <w:pStyle w:val="bullets"/>
        <w:numPr>
          <w:ilvl w:val="0"/>
          <w:numId w:val="0"/>
        </w:numPr>
      </w:pPr>
      <w:r w:rsidRPr="001F1F0E">
        <w:t xml:space="preserve">An SPPI policy covers all parties that provide professional services to the project which means that the cover is consistent and the premium cost is known by all </w:t>
      </w:r>
      <w:r w:rsidR="00D72814">
        <w:t>at the outset of the project:</w:t>
      </w:r>
    </w:p>
    <w:p w:rsidR="00957AD6" w:rsidRDefault="00957AD6" w:rsidP="00957AD6">
      <w:pPr>
        <w:rPr>
          <w:rFonts w:asciiTheme="minorHAnsi" w:eastAsiaTheme="minorHAnsi" w:hAnsiTheme="minorHAnsi" w:cstheme="minorBidi"/>
          <w:sz w:val="22"/>
          <w:szCs w:val="22"/>
          <w:lang w:eastAsia="en-US"/>
        </w:rPr>
      </w:pPr>
    </w:p>
    <w:p w:rsidR="00957AD6" w:rsidRPr="001F1F0E" w:rsidRDefault="00957AD6" w:rsidP="001F1F0E">
      <w:pPr>
        <w:pStyle w:val="bullets"/>
      </w:pPr>
      <w:r w:rsidRPr="001F1F0E">
        <w:rPr>
          <w:u w:val="single"/>
        </w:rPr>
        <w:t>Consistent coverage</w:t>
      </w:r>
      <w:r w:rsidRPr="001F1F0E">
        <w:t xml:space="preserve">.  The SPPI cover and limits applies to all of the </w:t>
      </w:r>
      <w:r w:rsidR="00D72814">
        <w:t xml:space="preserve">insureds:  </w:t>
      </w:r>
      <w:r w:rsidRPr="001F1F0E">
        <w:t>subsidiaries, cons</w:t>
      </w:r>
      <w:r w:rsidR="00D72814">
        <w:t xml:space="preserve">ultants, </w:t>
      </w:r>
      <w:r w:rsidRPr="001F1F0E">
        <w:t xml:space="preserve">and sub-contractors.  This ensures consistent coverage across all parties involved in the project and smoother claims handling. </w:t>
      </w:r>
    </w:p>
    <w:p w:rsidR="00957AD6" w:rsidRPr="001F1F0E" w:rsidRDefault="00957AD6" w:rsidP="001F1F0E">
      <w:pPr>
        <w:pStyle w:val="bullets"/>
      </w:pPr>
      <w:r w:rsidRPr="001F1F0E">
        <w:rPr>
          <w:u w:val="single"/>
        </w:rPr>
        <w:t>Transparent pricing</w:t>
      </w:r>
      <w:r w:rsidR="00D72814">
        <w:t xml:space="preserve">.  Compared to the unknown cost </w:t>
      </w:r>
      <w:r w:rsidRPr="001F1F0E">
        <w:t>of construction professionals’</w:t>
      </w:r>
      <w:r w:rsidR="00D72814">
        <w:t xml:space="preserve"> own PI insurance</w:t>
      </w:r>
      <w:r w:rsidRPr="001F1F0E">
        <w:t>, the SPPI premium for the extent of the project is transparent</w:t>
      </w:r>
      <w:r w:rsidR="005D0F77">
        <w:t xml:space="preserve"> and known upfront</w:t>
      </w:r>
      <w:r w:rsidRPr="001F1F0E">
        <w:t xml:space="preserve">, avoiding the possibility of incurring additional </w:t>
      </w:r>
      <w:r w:rsidR="005D0F77">
        <w:t>costs from project participants for their own PI premiums relating to the project.</w:t>
      </w:r>
    </w:p>
    <w:p w:rsidR="00957AD6" w:rsidRPr="001F1F0E" w:rsidRDefault="00957AD6" w:rsidP="001F1F0E">
      <w:pPr>
        <w:pStyle w:val="bullets"/>
      </w:pPr>
      <w:r w:rsidRPr="001F1F0E">
        <w:rPr>
          <w:u w:val="single"/>
        </w:rPr>
        <w:t>Cover duration</w:t>
      </w:r>
      <w:r w:rsidRPr="001F1F0E">
        <w:t>.  The SPPI provides certainty of coverage for the lifespan of the project plus a discovery period of up to 10 years</w:t>
      </w:r>
      <w:r w:rsidR="009202A1">
        <w:t xml:space="preserve"> or longer</w:t>
      </w:r>
      <w:r w:rsidRPr="001F1F0E">
        <w:t xml:space="preserve">. </w:t>
      </w:r>
    </w:p>
    <w:p w:rsidR="00957AD6" w:rsidRPr="001F1F0E" w:rsidRDefault="009202A1" w:rsidP="001F1F0E">
      <w:pPr>
        <w:pStyle w:val="Body"/>
      </w:pPr>
      <w:r>
        <w:t>A</w:t>
      </w:r>
      <w:r w:rsidR="00957AD6" w:rsidRPr="001F1F0E">
        <w:t xml:space="preserve"> SPPI policy provides up front coverage and costing for the entirety of the project period a</w:t>
      </w:r>
      <w:r>
        <w:t xml:space="preserve">nd extending to any </w:t>
      </w:r>
      <w:r w:rsidR="00957AD6" w:rsidRPr="001F1F0E">
        <w:t xml:space="preserve">contractually required discovery period. </w:t>
      </w:r>
    </w:p>
    <w:p w:rsidR="00957AD6" w:rsidRDefault="00957AD6" w:rsidP="00957AD6">
      <w:pPr>
        <w:rPr>
          <w:rFonts w:asciiTheme="minorHAnsi" w:eastAsiaTheme="minorHAnsi" w:hAnsiTheme="minorHAnsi" w:cstheme="minorBidi"/>
          <w:b/>
          <w:sz w:val="22"/>
          <w:szCs w:val="22"/>
          <w:u w:val="single"/>
          <w:lang w:eastAsia="en-US"/>
        </w:rPr>
      </w:pPr>
    </w:p>
    <w:p w:rsidR="00957AD6" w:rsidRPr="001F1F0E" w:rsidRDefault="00957AD6" w:rsidP="00957AD6">
      <w:pPr>
        <w:rPr>
          <w:rFonts w:ascii="Arial" w:hAnsi="Arial"/>
          <w:b/>
          <w:color w:val="7F7F7F" w:themeColor="text1" w:themeTint="80"/>
          <w:sz w:val="20"/>
          <w:szCs w:val="19"/>
        </w:rPr>
      </w:pPr>
      <w:r w:rsidRPr="001F1F0E">
        <w:rPr>
          <w:rFonts w:ascii="Arial" w:hAnsi="Arial"/>
          <w:b/>
          <w:color w:val="7F7F7F" w:themeColor="text1" w:themeTint="80"/>
          <w:sz w:val="20"/>
          <w:szCs w:val="19"/>
        </w:rPr>
        <w:t>JOINT VENTURES</w:t>
      </w:r>
    </w:p>
    <w:p w:rsidR="00957AD6" w:rsidRDefault="00957AD6" w:rsidP="00957AD6">
      <w:pPr>
        <w:rPr>
          <w:rFonts w:asciiTheme="minorHAnsi" w:eastAsiaTheme="minorHAnsi" w:hAnsiTheme="minorHAnsi" w:cstheme="minorBidi"/>
          <w:b/>
          <w:sz w:val="22"/>
          <w:szCs w:val="22"/>
          <w:u w:val="single"/>
          <w:lang w:eastAsia="en-US"/>
        </w:rPr>
      </w:pPr>
    </w:p>
    <w:p w:rsidR="00957AD6" w:rsidRPr="001F1F0E" w:rsidRDefault="00957AD6" w:rsidP="001F1F0E">
      <w:pPr>
        <w:pStyle w:val="bullets"/>
        <w:numPr>
          <w:ilvl w:val="0"/>
          <w:numId w:val="0"/>
        </w:numPr>
      </w:pPr>
      <w:r w:rsidRPr="001F1F0E">
        <w:t>Many of the benefits outlined for owners are also advantageous for Joint Ventures formed by consultants and contractors pooling their resources and expertise on large construction projects:</w:t>
      </w:r>
    </w:p>
    <w:p w:rsidR="00957AD6" w:rsidRDefault="00957AD6" w:rsidP="00957AD6">
      <w:pPr>
        <w:rPr>
          <w:rFonts w:asciiTheme="minorHAnsi" w:eastAsiaTheme="minorHAnsi" w:hAnsiTheme="minorHAnsi" w:cstheme="minorBidi"/>
          <w:sz w:val="22"/>
          <w:szCs w:val="22"/>
          <w:lang w:eastAsia="en-US"/>
        </w:rPr>
      </w:pPr>
    </w:p>
    <w:p w:rsidR="00957AD6" w:rsidRPr="001F1F0E" w:rsidRDefault="00957AD6" w:rsidP="001F1F0E">
      <w:pPr>
        <w:pStyle w:val="bullets"/>
      </w:pPr>
      <w:r w:rsidRPr="001F1F0E">
        <w:rPr>
          <w:u w:val="single"/>
        </w:rPr>
        <w:t>Exposure</w:t>
      </w:r>
      <w:r w:rsidRPr="001F1F0E">
        <w:t xml:space="preserve">. Having an SPPI policy in place means that individual contractors and consultants </w:t>
      </w:r>
      <w:proofErr w:type="gramStart"/>
      <w:r w:rsidRPr="001F1F0E">
        <w:t>do not need</w:t>
      </w:r>
      <w:proofErr w:type="gramEnd"/>
      <w:r w:rsidRPr="001F1F0E">
        <w:t xml:space="preserve"> to expose their own PI coverage (and PI premiums) to the risks presented by other parties in a Joint Venture.</w:t>
      </w:r>
    </w:p>
    <w:p w:rsidR="00957AD6" w:rsidRPr="001F1F0E" w:rsidRDefault="00957AD6" w:rsidP="001F1F0E">
      <w:pPr>
        <w:pStyle w:val="bullets"/>
      </w:pPr>
      <w:r w:rsidRPr="001F1F0E">
        <w:rPr>
          <w:u w:val="single"/>
        </w:rPr>
        <w:t>Cover certainty</w:t>
      </w:r>
      <w:r w:rsidRPr="001F1F0E">
        <w:t>.  Annual policies do not usually provide full cover for Joint Ventures, whereas the SPPI is structured around the requirements of the project and its limits remain in place regardless of any claims against individual joint venture members’ annual PI policies.</w:t>
      </w:r>
    </w:p>
    <w:p w:rsidR="00957AD6" w:rsidRPr="001F1F0E" w:rsidRDefault="00957AD6" w:rsidP="001F1F0E">
      <w:pPr>
        <w:pStyle w:val="bullets"/>
      </w:pPr>
      <w:r w:rsidRPr="001F1F0E">
        <w:rPr>
          <w:u w:val="single"/>
        </w:rPr>
        <w:t>Efficient long term claims resolution</w:t>
      </w:r>
      <w:r w:rsidRPr="001F1F0E">
        <w:t>. The SPPI’s joint defence provision avoids disputes between Joint Venture members over liability for claims – not just during the project but also for a discovery period of 10 years or more after completion giving certainty of response.</w:t>
      </w:r>
    </w:p>
    <w:p w:rsidR="00957AD6" w:rsidRDefault="00957AD6" w:rsidP="001F1F0E">
      <w:pPr>
        <w:pStyle w:val="bullets"/>
      </w:pPr>
      <w:r w:rsidRPr="001F1F0E">
        <w:rPr>
          <w:u w:val="single"/>
        </w:rPr>
        <w:t>Cost transparency</w:t>
      </w:r>
      <w:r w:rsidRPr="001F1F0E">
        <w:t>. The total cost of Professional Indemnity insurance coverage for the project is known at the outset which means the Joint Venture can make budget provision and charge the costs to the project.</w:t>
      </w:r>
    </w:p>
    <w:p w:rsidR="00BF6467" w:rsidRDefault="00BF6467" w:rsidP="006A6E94">
      <w:pPr>
        <w:rPr>
          <w:rFonts w:ascii="Arial" w:hAnsi="Arial"/>
          <w:b/>
          <w:color w:val="7F7F7F" w:themeColor="text1" w:themeTint="80"/>
          <w:sz w:val="20"/>
          <w:szCs w:val="19"/>
        </w:rPr>
      </w:pPr>
    </w:p>
    <w:p w:rsidR="00FD2AD9" w:rsidRDefault="00FD2AD9" w:rsidP="006A6E94">
      <w:pPr>
        <w:rPr>
          <w:rFonts w:ascii="Arial" w:hAnsi="Arial"/>
          <w:b/>
          <w:color w:val="7F7F7F" w:themeColor="text1" w:themeTint="80"/>
          <w:sz w:val="20"/>
          <w:szCs w:val="19"/>
        </w:rPr>
      </w:pPr>
    </w:p>
    <w:p w:rsidR="00FD2AD9" w:rsidRDefault="00FD2AD9" w:rsidP="006A6E94">
      <w:pPr>
        <w:rPr>
          <w:rFonts w:ascii="Arial" w:hAnsi="Arial"/>
          <w:b/>
          <w:color w:val="7F7F7F" w:themeColor="text1" w:themeTint="80"/>
          <w:sz w:val="20"/>
          <w:szCs w:val="19"/>
        </w:rPr>
      </w:pPr>
    </w:p>
    <w:p w:rsidR="00FD2AD9" w:rsidRDefault="00FD2AD9" w:rsidP="006A6E94">
      <w:pPr>
        <w:rPr>
          <w:rFonts w:ascii="Arial" w:hAnsi="Arial"/>
          <w:b/>
          <w:color w:val="7F7F7F" w:themeColor="text1" w:themeTint="80"/>
          <w:sz w:val="20"/>
          <w:szCs w:val="19"/>
        </w:rPr>
      </w:pPr>
    </w:p>
    <w:p w:rsidR="00FD2AD9" w:rsidRDefault="00FD2AD9" w:rsidP="006A6E94">
      <w:pPr>
        <w:rPr>
          <w:rFonts w:ascii="Arial" w:hAnsi="Arial"/>
          <w:b/>
          <w:color w:val="7F7F7F" w:themeColor="text1" w:themeTint="80"/>
          <w:sz w:val="20"/>
          <w:szCs w:val="19"/>
        </w:rPr>
      </w:pPr>
    </w:p>
    <w:p w:rsidR="006A6E94" w:rsidRPr="006A6E94" w:rsidRDefault="006A6E94" w:rsidP="006A6E94">
      <w:pPr>
        <w:rPr>
          <w:rFonts w:ascii="Arial" w:hAnsi="Arial"/>
          <w:b/>
          <w:color w:val="7F7F7F" w:themeColor="text1" w:themeTint="80"/>
          <w:sz w:val="20"/>
          <w:szCs w:val="19"/>
        </w:rPr>
      </w:pPr>
      <w:r w:rsidRPr="006A6E94">
        <w:rPr>
          <w:rFonts w:ascii="Arial" w:hAnsi="Arial"/>
          <w:b/>
          <w:color w:val="7F7F7F" w:themeColor="text1" w:themeTint="80"/>
          <w:sz w:val="20"/>
          <w:szCs w:val="19"/>
        </w:rPr>
        <w:t>CONTRACT REVIEW</w:t>
      </w:r>
    </w:p>
    <w:p w:rsidR="006A6E94" w:rsidRDefault="006A6E94" w:rsidP="006A6E94">
      <w:pPr>
        <w:pStyle w:val="bullets"/>
        <w:numPr>
          <w:ilvl w:val="0"/>
          <w:numId w:val="0"/>
        </w:numPr>
      </w:pPr>
    </w:p>
    <w:p w:rsidR="006A6E94" w:rsidRDefault="006A6E94" w:rsidP="006A6E94">
      <w:pPr>
        <w:pStyle w:val="bullets"/>
        <w:numPr>
          <w:ilvl w:val="0"/>
          <w:numId w:val="0"/>
        </w:numPr>
      </w:pPr>
      <w:r>
        <w:t xml:space="preserve">All SPPI clients are entitled to 4 hours complimentary service from </w:t>
      </w:r>
      <w:r w:rsidR="00BF6467">
        <w:t>s</w:t>
      </w:r>
      <w:r>
        <w:t xml:space="preserve">pecialist </w:t>
      </w:r>
      <w:r w:rsidR="00BF6467">
        <w:t>c</w:t>
      </w:r>
      <w:r>
        <w:t xml:space="preserve">onstruction </w:t>
      </w:r>
      <w:r w:rsidR="00BF6467">
        <w:t>l</w:t>
      </w:r>
      <w:r>
        <w:t>awyers for confidential reviews of the construction contracts the client is entering into and expert advice about them</w:t>
      </w:r>
      <w:r w:rsidR="00AB7580">
        <w:t xml:space="preserve">, </w:t>
      </w:r>
      <w:proofErr w:type="spellStart"/>
      <w:r w:rsidR="00AB7580">
        <w:t>eg</w:t>
      </w:r>
      <w:proofErr w:type="spellEnd"/>
      <w:r w:rsidR="00AB7580">
        <w:t xml:space="preserve"> : </w:t>
      </w:r>
    </w:p>
    <w:p w:rsidR="006A6E94" w:rsidRDefault="00A85078" w:rsidP="00A85078">
      <w:pPr>
        <w:pStyle w:val="bullets"/>
      </w:pPr>
      <w:r w:rsidRPr="00A85078">
        <w:rPr>
          <w:u w:val="single"/>
        </w:rPr>
        <w:t>Cover issues</w:t>
      </w:r>
      <w:r w:rsidRPr="00AB7580">
        <w:t>:</w:t>
      </w:r>
      <w:r w:rsidRPr="00A85078">
        <w:t xml:space="preserve">   </w:t>
      </w:r>
      <w:r w:rsidR="00AB7580">
        <w:t xml:space="preserve">the solicitors can advise the client about </w:t>
      </w:r>
      <w:r w:rsidRPr="00A85078">
        <w:t xml:space="preserve">issues </w:t>
      </w:r>
      <w:r w:rsidR="00AB7580">
        <w:t xml:space="preserve">in the </w:t>
      </w:r>
      <w:r w:rsidRPr="00A85078">
        <w:t>draft contract</w:t>
      </w:r>
      <w:r w:rsidR="00AB7580">
        <w:t xml:space="preserve"> that are </w:t>
      </w:r>
      <w:r w:rsidRPr="00A85078">
        <w:t xml:space="preserve">inconsistent with the </w:t>
      </w:r>
      <w:r w:rsidR="00AB7580">
        <w:t xml:space="preserve">scope of </w:t>
      </w:r>
      <w:r w:rsidRPr="00A85078">
        <w:t xml:space="preserve">cover under the </w:t>
      </w:r>
      <w:r w:rsidR="00AB7580">
        <w:t xml:space="preserve">SPPI.  They can </w:t>
      </w:r>
      <w:r w:rsidR="00AB7580" w:rsidRPr="00A85078">
        <w:t>identify provisions</w:t>
      </w:r>
      <w:r w:rsidRPr="00A85078">
        <w:t xml:space="preserve"> of the draft contract </w:t>
      </w:r>
      <w:r w:rsidR="00AB7580" w:rsidRPr="00A85078">
        <w:t>which</w:t>
      </w:r>
      <w:r w:rsidR="00AB7580">
        <w:t>,</w:t>
      </w:r>
      <w:r w:rsidRPr="00A85078">
        <w:t xml:space="preserve"> if they were to give rise to a claim, may not be fully covered</w:t>
      </w:r>
      <w:r w:rsidR="00AB7580">
        <w:t xml:space="preserve"> or w</w:t>
      </w:r>
      <w:r w:rsidRPr="00A85078">
        <w:t xml:space="preserve">hich might </w:t>
      </w:r>
      <w:r w:rsidR="00AB7580">
        <w:t xml:space="preserve">present </w:t>
      </w:r>
      <w:r w:rsidRPr="00A85078">
        <w:t>coverage issues.</w:t>
      </w:r>
    </w:p>
    <w:p w:rsidR="00BF6467" w:rsidRDefault="00AB7580" w:rsidP="00AB7580">
      <w:pPr>
        <w:pStyle w:val="bullets"/>
      </w:pPr>
      <w:r w:rsidRPr="00AB7580">
        <w:rPr>
          <w:u w:val="single"/>
        </w:rPr>
        <w:t>Legal issues</w:t>
      </w:r>
      <w:r>
        <w:t xml:space="preserve">:  </w:t>
      </w:r>
      <w:r w:rsidRPr="00AB7580">
        <w:t xml:space="preserve">  </w:t>
      </w:r>
      <w:r>
        <w:t>the</w:t>
      </w:r>
      <w:r w:rsidR="00DD2B5B">
        <w:t xml:space="preserve"> solicitors can </w:t>
      </w:r>
      <w:r w:rsidR="00BF6467">
        <w:t xml:space="preserve">also </w:t>
      </w:r>
      <w:r>
        <w:t>identif</w:t>
      </w:r>
      <w:r w:rsidR="00DD2B5B">
        <w:t xml:space="preserve">y </w:t>
      </w:r>
      <w:r w:rsidR="00BF6467" w:rsidRPr="00AB7580">
        <w:t xml:space="preserve">legally onerous or unreasonable </w:t>
      </w:r>
      <w:r w:rsidR="00DD2B5B">
        <w:t xml:space="preserve">contract clauses </w:t>
      </w:r>
      <w:r w:rsidRPr="00AB7580">
        <w:t xml:space="preserve">inconsistent with the scope of obligations that one would normally expect to see in documentation typically used for the appointment of a construction professional in relation to projects of similar scope and complexity. </w:t>
      </w:r>
    </w:p>
    <w:p w:rsidR="00AB7580" w:rsidRDefault="00BF6467" w:rsidP="00AB7580">
      <w:pPr>
        <w:pStyle w:val="bullets"/>
      </w:pPr>
      <w:r w:rsidRPr="00BF6467">
        <w:rPr>
          <w:u w:val="single"/>
        </w:rPr>
        <w:t>Legal recommendations</w:t>
      </w:r>
      <w:r>
        <w:t xml:space="preserve">: they may </w:t>
      </w:r>
      <w:r w:rsidR="00AB7580" w:rsidRPr="00AB7580">
        <w:t>recommend the amendment of a clause and will set out a proposed alternative wording, along with an explanation as to why the clause is regarded as legally onerous and why it should be deleted or amended. Such explanations should assist in contract negotiation.</w:t>
      </w:r>
    </w:p>
    <w:p w:rsidR="00BF6467" w:rsidRDefault="00BF6467" w:rsidP="00BF6467">
      <w:pPr>
        <w:pStyle w:val="bullets"/>
      </w:pPr>
      <w:r w:rsidRPr="00BF6467">
        <w:rPr>
          <w:u w:val="single"/>
        </w:rPr>
        <w:t>Wider contract reviews</w:t>
      </w:r>
      <w:r w:rsidRPr="00BF6467">
        <w:t>:</w:t>
      </w:r>
      <w:r>
        <w:t xml:space="preserve">  clients may request an analysis </w:t>
      </w:r>
      <w:r w:rsidRPr="00BF6467">
        <w:t xml:space="preserve">of </w:t>
      </w:r>
      <w:r>
        <w:t xml:space="preserve">the draft contract’s </w:t>
      </w:r>
      <w:r w:rsidRPr="00BF6467">
        <w:t>standard of care, scope of services, limitation of liability and insurance provisions of the proposed contract</w:t>
      </w:r>
      <w:r>
        <w:t xml:space="preserve"> as well as </w:t>
      </w:r>
      <w:r w:rsidRPr="00BF6467">
        <w:t xml:space="preserve">insurability or </w:t>
      </w:r>
      <w:r>
        <w:t xml:space="preserve">the identification of </w:t>
      </w:r>
      <w:r w:rsidRPr="00BF6467">
        <w:t>unbalanced or potentially harmful contract terms.</w:t>
      </w:r>
    </w:p>
    <w:p w:rsidR="00BF6467" w:rsidRPr="00A85078" w:rsidRDefault="00BF6467" w:rsidP="00BF6467">
      <w:pPr>
        <w:pStyle w:val="bullets"/>
      </w:pPr>
      <w:r w:rsidRPr="00BF6467">
        <w:rPr>
          <w:u w:val="single"/>
        </w:rPr>
        <w:t>Confidential</w:t>
      </w:r>
      <w:r>
        <w:t xml:space="preserve">:  </w:t>
      </w:r>
      <w:r w:rsidR="00CE227E">
        <w:t xml:space="preserve">These reviews are for the sole </w:t>
      </w:r>
      <w:r w:rsidR="00CE227E" w:rsidRPr="00BF6467">
        <w:t xml:space="preserve">benefit of our </w:t>
      </w:r>
      <w:r w:rsidR="00CE227E">
        <w:t xml:space="preserve">clients </w:t>
      </w:r>
      <w:r w:rsidR="00CE227E" w:rsidRPr="00BF6467">
        <w:t xml:space="preserve">Insureds attorney/client privilege </w:t>
      </w:r>
      <w:r>
        <w:t xml:space="preserve">will be </w:t>
      </w:r>
      <w:r w:rsidRPr="00BF6467">
        <w:t>maintained relative to these reviews. They are for the sole and explicitly not for risk evaluation/underwriting purposes.</w:t>
      </w:r>
    </w:p>
    <w:p w:rsidR="006A6E94" w:rsidRPr="001F1F0E" w:rsidRDefault="006A6E94" w:rsidP="006A6E94">
      <w:pPr>
        <w:pStyle w:val="bullets"/>
        <w:numPr>
          <w:ilvl w:val="0"/>
          <w:numId w:val="0"/>
        </w:numPr>
      </w:pPr>
    </w:p>
    <w:p w:rsidR="006F0208" w:rsidRDefault="001F1F0E" w:rsidP="006F0208">
      <w:pPr>
        <w:pStyle w:val="Subheads"/>
      </w:pPr>
      <w:r>
        <w:t>SPPI</w:t>
      </w:r>
      <w:r w:rsidR="006F0208" w:rsidRPr="00F15370">
        <w:t xml:space="preserve"> </w:t>
      </w:r>
      <w:r w:rsidR="006F0208">
        <w:t>Target Market</w:t>
      </w:r>
    </w:p>
    <w:p w:rsidR="001F1F0E" w:rsidRPr="001F1F0E" w:rsidRDefault="001F1F0E" w:rsidP="001F1F0E">
      <w:pPr>
        <w:pStyle w:val="bullets"/>
      </w:pPr>
      <w:r w:rsidRPr="001F1F0E">
        <w:rPr>
          <w:u w:val="single"/>
        </w:rPr>
        <w:t>Project Size</w:t>
      </w:r>
      <w:r w:rsidRPr="001F1F0E">
        <w:t xml:space="preserve">:  SPPI is designed for a wide range </w:t>
      </w:r>
      <w:r w:rsidR="00DC2A2D">
        <w:t xml:space="preserve">of </w:t>
      </w:r>
      <w:r w:rsidRPr="001F1F0E">
        <w:t>projects involving the construction of physical str</w:t>
      </w:r>
      <w:r w:rsidR="00D155C0">
        <w:t>uctures</w:t>
      </w:r>
      <w:r w:rsidRPr="001F1F0E">
        <w:t>.  We are especially interested in projects with a construction value over $50 million</w:t>
      </w:r>
      <w:r w:rsidR="00D155C0">
        <w:t>.</w:t>
      </w:r>
    </w:p>
    <w:p w:rsidR="00EE0F57" w:rsidRDefault="00EE0F57" w:rsidP="006F0208">
      <w:pPr>
        <w:pStyle w:val="bullets"/>
      </w:pPr>
      <w:r>
        <w:rPr>
          <w:u w:val="single"/>
        </w:rPr>
        <w:t xml:space="preserve">All </w:t>
      </w:r>
      <w:r w:rsidR="001F1F0E" w:rsidRPr="001F1F0E">
        <w:rPr>
          <w:u w:val="single"/>
        </w:rPr>
        <w:t>projects</w:t>
      </w:r>
      <w:r w:rsidR="001F1F0E" w:rsidRPr="001F1F0E">
        <w:t xml:space="preserve">:  </w:t>
      </w:r>
      <w:r>
        <w:t>From simple construction methods, such as</w:t>
      </w:r>
      <w:r w:rsidR="00FD2AD9">
        <w:t>, roads, resorts, colleges, universities and airport terminals. To more complex construction such as major rail projects, tunnels, bridges, mines and dams.</w:t>
      </w:r>
    </w:p>
    <w:p w:rsidR="00FD2AD9" w:rsidRDefault="00FD2AD9" w:rsidP="006F0208">
      <w:pPr>
        <w:pStyle w:val="Subheads"/>
      </w:pPr>
    </w:p>
    <w:p w:rsidR="00D155C0" w:rsidRDefault="00D155C0" w:rsidP="006F0208">
      <w:pPr>
        <w:pStyle w:val="Subheads"/>
      </w:pPr>
    </w:p>
    <w:p w:rsidR="00D155C0" w:rsidRDefault="00D155C0" w:rsidP="006F0208">
      <w:pPr>
        <w:pStyle w:val="Subheads"/>
      </w:pPr>
    </w:p>
    <w:p w:rsidR="006F0208" w:rsidRDefault="006F0208" w:rsidP="006F0208">
      <w:pPr>
        <w:pStyle w:val="Subheads"/>
      </w:pPr>
      <w:r w:rsidRPr="005778BD">
        <w:lastRenderedPageBreak/>
        <w:t xml:space="preserve">Cover </w:t>
      </w:r>
      <w:r w:rsidR="004A5233">
        <w:t>a</w:t>
      </w:r>
      <w:r w:rsidRPr="005778BD">
        <w:t xml:space="preserve">t </w:t>
      </w:r>
      <w:r w:rsidR="004A5233">
        <w:t>a</w:t>
      </w:r>
      <w:r w:rsidRPr="005778BD">
        <w:t xml:space="preserve"> Glance</w:t>
      </w:r>
    </w:p>
    <w:p w:rsidR="001F1F0E" w:rsidRPr="00CE1751" w:rsidRDefault="001F1F0E" w:rsidP="001F1F0E">
      <w:pPr>
        <w:pStyle w:val="bullets"/>
      </w:pPr>
      <w:r w:rsidRPr="00CE1751">
        <w:t>Cover against claims alleging negligence as a result of Construction Professional Services</w:t>
      </w:r>
    </w:p>
    <w:p w:rsidR="001F1F0E" w:rsidRDefault="001F1F0E" w:rsidP="001F1F0E">
      <w:pPr>
        <w:pStyle w:val="bullets"/>
      </w:pPr>
      <w:r w:rsidRPr="00CE1751">
        <w:t>Covers all project participant</w:t>
      </w:r>
      <w:r w:rsidR="00D155C0">
        <w:t>s</w:t>
      </w:r>
      <w:r w:rsidRPr="00CE1751">
        <w:t xml:space="preserve"> with responsibility for professional services rendered in connection with the construction project</w:t>
      </w:r>
    </w:p>
    <w:p w:rsidR="001F1F0E" w:rsidRPr="00CE1751" w:rsidRDefault="001F1F0E" w:rsidP="001F1F0E">
      <w:pPr>
        <w:pStyle w:val="bullets"/>
      </w:pPr>
      <w:r w:rsidRPr="00CE1751">
        <w:t>Includes architectural services, engineering services, debasin</w:t>
      </w:r>
      <w:r w:rsidR="00F85DB4">
        <w:t xml:space="preserve">g or specification services, </w:t>
      </w:r>
      <w:r w:rsidRPr="00CE1751">
        <w:t>conduct/feasibility studies and surveys</w:t>
      </w:r>
    </w:p>
    <w:p w:rsidR="001F1F0E" w:rsidRPr="00CE1751" w:rsidRDefault="001F1F0E" w:rsidP="001F1F0E">
      <w:pPr>
        <w:pStyle w:val="bullets"/>
      </w:pPr>
      <w:r w:rsidRPr="00CE1751">
        <w:t xml:space="preserve">Includes any consultant, independent contractor or </w:t>
      </w:r>
      <w:proofErr w:type="spellStart"/>
      <w:r w:rsidRPr="00CE1751">
        <w:t>sub contractor</w:t>
      </w:r>
      <w:proofErr w:type="spellEnd"/>
      <w:r w:rsidRPr="00CE1751">
        <w:t xml:space="preserve">  (including temporary contracts), any additional named insured   </w:t>
      </w:r>
    </w:p>
    <w:p w:rsidR="001F1F0E" w:rsidRPr="00CE1751" w:rsidRDefault="00F85DB4" w:rsidP="001F1F0E">
      <w:pPr>
        <w:pStyle w:val="bullets"/>
      </w:pPr>
      <w:r>
        <w:t>Can be extended to indemnify the project owner/principal for legal liability for claims by 3</w:t>
      </w:r>
      <w:r w:rsidRPr="00F85DB4">
        <w:rPr>
          <w:vertAlign w:val="superscript"/>
        </w:rPr>
        <w:t>rd</w:t>
      </w:r>
      <w:r>
        <w:t xml:space="preserve"> parties caused by negligence of insured</w:t>
      </w:r>
    </w:p>
    <w:p w:rsidR="001F1F0E" w:rsidRPr="00CE1751" w:rsidRDefault="001F1F0E" w:rsidP="001F1F0E">
      <w:pPr>
        <w:pStyle w:val="bullets"/>
      </w:pPr>
      <w:r w:rsidRPr="00CE1751">
        <w:t>Cover can be provided from first provision of professional services, through construction phase to practical completion</w:t>
      </w:r>
    </w:p>
    <w:p w:rsidR="001F1F0E" w:rsidRPr="00CE1751" w:rsidRDefault="001F1F0E" w:rsidP="001F1F0E">
      <w:pPr>
        <w:pStyle w:val="bullets"/>
      </w:pPr>
      <w:r w:rsidRPr="00CE1751">
        <w:t>Extended claims reporting up to 10 years</w:t>
      </w:r>
      <w:r w:rsidR="00F85DB4">
        <w:t xml:space="preserve"> or longer</w:t>
      </w:r>
      <w:r w:rsidRPr="00CE1751">
        <w:t xml:space="preserve"> after completion</w:t>
      </w:r>
    </w:p>
    <w:p w:rsidR="001F1F0E" w:rsidRPr="00CE1751" w:rsidRDefault="001F1F0E" w:rsidP="001F1F0E">
      <w:pPr>
        <w:pStyle w:val="bullets"/>
      </w:pPr>
      <w:r w:rsidRPr="00CE1751">
        <w:t>Non-cancellable limits of liability that are dedicated to the project.</w:t>
      </w:r>
    </w:p>
    <w:p w:rsidR="001F1F0E" w:rsidRPr="00CE1751" w:rsidRDefault="001F1F0E" w:rsidP="000467DD">
      <w:pPr>
        <w:pStyle w:val="bullets"/>
      </w:pPr>
      <w:r w:rsidRPr="00CE1751">
        <w:t>Claims made basis of cover</w:t>
      </w:r>
    </w:p>
    <w:p w:rsidR="006F0208" w:rsidRDefault="006F0208" w:rsidP="006F0208">
      <w:pPr>
        <w:pStyle w:val="Subheads"/>
      </w:pPr>
      <w:r w:rsidRPr="005778BD">
        <w:t>C</w:t>
      </w:r>
      <w:r>
        <w:t xml:space="preserve">laims </w:t>
      </w:r>
      <w:r w:rsidR="000467DD">
        <w:t>Scenarios</w:t>
      </w:r>
    </w:p>
    <w:p w:rsidR="000467DD" w:rsidRPr="000467DD" w:rsidRDefault="000467DD" w:rsidP="000467DD">
      <w:pPr>
        <w:pStyle w:val="bullets"/>
      </w:pPr>
      <w:r w:rsidRPr="000467DD">
        <w:rPr>
          <w:u w:val="single"/>
        </w:rPr>
        <w:t>Redevelopment of rail system</w:t>
      </w:r>
      <w:r w:rsidRPr="000467DD">
        <w:t>. Our Architectural and Engineering clients were responsible for the design of the trains and received a claim from the project owner for defective designed rail cars. The design was shown to have been inadequate and permitted water intrusion into the rail car shell with resulting damage to interior components.  The claim related to the rectification of multiple rail cars and the SPPI policy paid almost $10 million in repair costs.</w:t>
      </w:r>
    </w:p>
    <w:p w:rsidR="000467DD" w:rsidRPr="000467DD" w:rsidRDefault="000467DD" w:rsidP="000467DD">
      <w:pPr>
        <w:pStyle w:val="bullets"/>
        <w:numPr>
          <w:ilvl w:val="0"/>
          <w:numId w:val="0"/>
        </w:numPr>
        <w:ind w:left="710"/>
      </w:pPr>
    </w:p>
    <w:p w:rsidR="000467DD" w:rsidRPr="000467DD" w:rsidRDefault="000467DD" w:rsidP="000467DD">
      <w:pPr>
        <w:pStyle w:val="bullets"/>
      </w:pPr>
      <w:r w:rsidRPr="000467DD">
        <w:rPr>
          <w:u w:val="single"/>
        </w:rPr>
        <w:t>Timeshare vacation units</w:t>
      </w:r>
      <w:r w:rsidRPr="000467DD">
        <w:t>. Mould infiltration was discovered in some of the units shortly after they opened. This happened during the rainy season, specifically after a hurricane. The units developed an odour and as a result the walls needed to be replaced at a cost of over $17million. It was established that the design and specification used for the units were different to those usually used in this particular location.   The SPPI policy provided coverage for all of the consultants and sub consultants for their roles in the design and construction of the project.</w:t>
      </w:r>
    </w:p>
    <w:p w:rsidR="000467DD" w:rsidRPr="000467DD" w:rsidRDefault="000467DD" w:rsidP="000467DD">
      <w:pPr>
        <w:pStyle w:val="bullets"/>
      </w:pPr>
      <w:r w:rsidRPr="000467DD">
        <w:rPr>
          <w:u w:val="single"/>
        </w:rPr>
        <w:t>Road bearing viaduct</w:t>
      </w:r>
      <w:r w:rsidRPr="000467DD">
        <w:t>. A claim in excess of $75 million arose when design services relating to remedial works to a road bearing viaduct across a river were incorrect. The roller bearings which were inherent in the design as part of the bridges expansion and contraction had cracked. Subsequent investigations showed that design calculations were incorrect, feeding insufficient tolerance levels.  The client’s SPPI policy covered the remedial works including the replacement of the bearings with an alternative system, as well as the traffic management costs.</w:t>
      </w:r>
    </w:p>
    <w:p w:rsidR="000467DD" w:rsidRDefault="000467DD" w:rsidP="000467DD">
      <w:pPr>
        <w:pStyle w:val="bullets"/>
        <w:numPr>
          <w:ilvl w:val="0"/>
          <w:numId w:val="0"/>
        </w:numPr>
        <w:ind w:left="710"/>
      </w:pPr>
    </w:p>
    <w:p w:rsidR="00FD2AD9" w:rsidRPr="000467DD" w:rsidRDefault="00FD2AD9" w:rsidP="000467DD">
      <w:pPr>
        <w:pStyle w:val="bullets"/>
        <w:numPr>
          <w:ilvl w:val="0"/>
          <w:numId w:val="0"/>
        </w:numPr>
        <w:ind w:left="710"/>
      </w:pPr>
    </w:p>
    <w:p w:rsidR="000467DD" w:rsidRPr="000467DD" w:rsidRDefault="000467DD" w:rsidP="000467DD">
      <w:pPr>
        <w:pStyle w:val="bullets"/>
      </w:pPr>
      <w:r w:rsidRPr="000467DD">
        <w:rPr>
          <w:u w:val="single"/>
        </w:rPr>
        <w:lastRenderedPageBreak/>
        <w:t>Tunnelling under waterways</w:t>
      </w:r>
      <w:r w:rsidRPr="000467DD">
        <w:t>. Two tunnels underneath a waterway were designed and constructed for motorised traffic use. Problems with the design of the concrete tunnel lining elements caused too high stress levels which in turn had an adverse bearing on the joint seal between the elements.  Many of the elements were replaced and the construction delays and the re-design costs sought were nearly $10 million, all of which were covered by their SPPI policy.</w:t>
      </w:r>
    </w:p>
    <w:p w:rsidR="004E3FFA" w:rsidRDefault="004E3FFA" w:rsidP="004E3FFA">
      <w:pPr>
        <w:pStyle w:val="Subheads"/>
      </w:pPr>
      <w:r>
        <w:t xml:space="preserve">Podcast </w:t>
      </w:r>
    </w:p>
    <w:p w:rsidR="00A63DDA" w:rsidRPr="00A63DDA" w:rsidRDefault="00A63DDA" w:rsidP="00A63DDA">
      <w:pPr>
        <w:spacing w:line="276" w:lineRule="auto"/>
        <w:rPr>
          <w:rFonts w:ascii="Arial" w:hAnsi="Arial" w:cs="Arial"/>
          <w:color w:val="7F7F7F" w:themeColor="text1" w:themeTint="80"/>
          <w:sz w:val="20"/>
          <w:szCs w:val="20"/>
        </w:rPr>
      </w:pPr>
      <w:r w:rsidRPr="00A63DDA">
        <w:rPr>
          <w:rFonts w:ascii="Arial" w:hAnsi="Arial" w:cs="Arial"/>
          <w:color w:val="7F7F7F" w:themeColor="text1" w:themeTint="80"/>
          <w:sz w:val="20"/>
          <w:szCs w:val="20"/>
        </w:rPr>
        <w:t xml:space="preserve">If you already have Professional Indemnity insurance, why would you want to get Single Project Professional Indemnity insurance too? Well, the answer is in the name. Single Project Professional Indemnity – or SPPI – insurance is designed for single large construction projects, like building a bridge, a tunnel, an office block or an airport. </w:t>
      </w:r>
    </w:p>
    <w:p w:rsidR="00A63DDA" w:rsidRPr="00A63DDA" w:rsidRDefault="00A63DDA" w:rsidP="00A63DDA">
      <w:pPr>
        <w:spacing w:line="276" w:lineRule="auto"/>
        <w:rPr>
          <w:rFonts w:ascii="Arial" w:hAnsi="Arial" w:cs="Arial"/>
          <w:color w:val="7F7F7F" w:themeColor="text1" w:themeTint="80"/>
          <w:sz w:val="20"/>
          <w:szCs w:val="20"/>
        </w:rPr>
      </w:pPr>
    </w:p>
    <w:p w:rsidR="00A63DDA" w:rsidRPr="00A63DDA" w:rsidRDefault="00A63DDA" w:rsidP="00A63DDA">
      <w:pPr>
        <w:spacing w:line="276" w:lineRule="auto"/>
        <w:rPr>
          <w:rFonts w:ascii="Arial" w:hAnsi="Arial" w:cs="Arial"/>
          <w:color w:val="7F7F7F" w:themeColor="text1" w:themeTint="80"/>
          <w:sz w:val="20"/>
          <w:szCs w:val="20"/>
        </w:rPr>
      </w:pPr>
      <w:r w:rsidRPr="00A63DDA">
        <w:rPr>
          <w:rFonts w:ascii="Arial" w:hAnsi="Arial" w:cs="Arial"/>
          <w:color w:val="7F7F7F" w:themeColor="text1" w:themeTint="80"/>
          <w:sz w:val="20"/>
          <w:szCs w:val="20"/>
        </w:rPr>
        <w:t>Large projects like these have numerous professionals working on them – engineers, architects, designers, consultants – and SPPI covers them all, in a durable, transparent way that fits the scope of the project. This works well for the professionals, but it also makes sense for the project owners too.</w:t>
      </w:r>
    </w:p>
    <w:p w:rsidR="00A63DDA" w:rsidRPr="00A63DDA" w:rsidRDefault="00A63DDA" w:rsidP="00A63DDA">
      <w:pPr>
        <w:spacing w:line="276" w:lineRule="auto"/>
        <w:rPr>
          <w:rFonts w:ascii="Arial" w:hAnsi="Arial" w:cs="Arial"/>
          <w:color w:val="7F7F7F" w:themeColor="text1" w:themeTint="80"/>
          <w:sz w:val="20"/>
          <w:szCs w:val="20"/>
        </w:rPr>
      </w:pPr>
    </w:p>
    <w:p w:rsidR="00A63DDA" w:rsidRPr="00A63DDA" w:rsidRDefault="00A63DDA" w:rsidP="00A63DDA">
      <w:pPr>
        <w:spacing w:line="276" w:lineRule="auto"/>
        <w:rPr>
          <w:rFonts w:ascii="Arial" w:hAnsi="Arial" w:cs="Arial"/>
          <w:color w:val="7F7F7F" w:themeColor="text1" w:themeTint="80"/>
          <w:sz w:val="20"/>
          <w:szCs w:val="20"/>
        </w:rPr>
      </w:pPr>
      <w:r w:rsidRPr="00A63DDA">
        <w:rPr>
          <w:rFonts w:ascii="Arial" w:hAnsi="Arial" w:cs="Arial"/>
          <w:color w:val="7F7F7F" w:themeColor="text1" w:themeTint="80"/>
          <w:sz w:val="20"/>
          <w:szCs w:val="20"/>
        </w:rPr>
        <w:t xml:space="preserve">As an example, let’s say an engineer misjudged a specification in a major bridge-building project, resulting in a 10 million dollar redesign. This engineer might have professional indemnity cover of 15 million dollars, but he might also have another, larger claim going through on a different project, where a similar mistake was made. His PI policy won’t stretch to cover both claims. That’s a problem for the </w:t>
      </w:r>
      <w:r w:rsidR="00E61009">
        <w:rPr>
          <w:rFonts w:ascii="Arial" w:hAnsi="Arial" w:cs="Arial"/>
          <w:color w:val="7F7F7F" w:themeColor="text1" w:themeTint="80"/>
          <w:sz w:val="20"/>
          <w:szCs w:val="20"/>
        </w:rPr>
        <w:t>owner of the bridge and the engineer.</w:t>
      </w:r>
    </w:p>
    <w:p w:rsidR="00A63DDA" w:rsidRPr="00A63DDA" w:rsidRDefault="00A63DDA" w:rsidP="00A63DDA">
      <w:pPr>
        <w:spacing w:line="276" w:lineRule="auto"/>
        <w:rPr>
          <w:rFonts w:ascii="Arial" w:hAnsi="Arial" w:cs="Arial"/>
          <w:color w:val="7F7F7F" w:themeColor="text1" w:themeTint="80"/>
          <w:sz w:val="20"/>
          <w:szCs w:val="20"/>
        </w:rPr>
      </w:pPr>
    </w:p>
    <w:p w:rsidR="00A63DDA" w:rsidRPr="00A63DDA" w:rsidRDefault="00A63DDA" w:rsidP="00A63DDA">
      <w:pPr>
        <w:spacing w:line="276" w:lineRule="auto"/>
        <w:rPr>
          <w:rFonts w:ascii="Arial" w:hAnsi="Arial" w:cs="Arial"/>
          <w:color w:val="7F7F7F" w:themeColor="text1" w:themeTint="80"/>
          <w:sz w:val="20"/>
          <w:szCs w:val="20"/>
        </w:rPr>
      </w:pPr>
      <w:r w:rsidRPr="00A63DDA">
        <w:rPr>
          <w:rFonts w:ascii="Arial" w:hAnsi="Arial" w:cs="Arial"/>
          <w:color w:val="7F7F7F" w:themeColor="text1" w:themeTint="80"/>
          <w:sz w:val="20"/>
          <w:szCs w:val="20"/>
        </w:rPr>
        <w:t xml:space="preserve">Let’s add another professional to this scenario – a structural engineer who signed off on the design and should have spotted the mistake. Can her PI policy cover the 10 million dollar loss, or part of it? You can bet her insurance company’s going to argue she wasn’t responsible. </w:t>
      </w:r>
    </w:p>
    <w:p w:rsidR="00A63DDA" w:rsidRPr="00A63DDA" w:rsidRDefault="00A63DDA" w:rsidP="00A63DDA">
      <w:pPr>
        <w:spacing w:line="276" w:lineRule="auto"/>
        <w:rPr>
          <w:rFonts w:ascii="Arial" w:hAnsi="Arial" w:cs="Arial"/>
          <w:color w:val="7F7F7F" w:themeColor="text1" w:themeTint="80"/>
          <w:sz w:val="20"/>
          <w:szCs w:val="20"/>
        </w:rPr>
      </w:pPr>
    </w:p>
    <w:p w:rsidR="00A63DDA" w:rsidRPr="00A63DDA" w:rsidRDefault="00A63DDA" w:rsidP="00A63DDA">
      <w:pPr>
        <w:spacing w:line="276" w:lineRule="auto"/>
        <w:rPr>
          <w:rFonts w:ascii="Arial" w:hAnsi="Arial" w:cs="Arial"/>
          <w:color w:val="7F7F7F" w:themeColor="text1" w:themeTint="80"/>
          <w:sz w:val="20"/>
          <w:szCs w:val="20"/>
        </w:rPr>
      </w:pPr>
      <w:r w:rsidRPr="00A63DDA">
        <w:rPr>
          <w:rFonts w:ascii="Arial" w:hAnsi="Arial" w:cs="Arial"/>
          <w:color w:val="7F7F7F" w:themeColor="text1" w:themeTint="80"/>
          <w:sz w:val="20"/>
          <w:szCs w:val="20"/>
        </w:rPr>
        <w:t>Meanwhile, a consultant who contributed to the flawed design has let his PI policy lapse, and the manager who supervised the work only has cover of 5 million dollars. While this liability mess is sorted out, the project grinds to a halt.</w:t>
      </w:r>
    </w:p>
    <w:p w:rsidR="00A63DDA" w:rsidRPr="00A63DDA" w:rsidRDefault="00A63DDA" w:rsidP="00A63DDA">
      <w:pPr>
        <w:spacing w:line="276" w:lineRule="auto"/>
        <w:rPr>
          <w:rFonts w:ascii="Arial" w:hAnsi="Arial" w:cs="Arial"/>
          <w:color w:val="7F7F7F" w:themeColor="text1" w:themeTint="80"/>
          <w:sz w:val="20"/>
          <w:szCs w:val="20"/>
        </w:rPr>
      </w:pPr>
    </w:p>
    <w:p w:rsidR="00A63DDA" w:rsidRPr="00A63DDA" w:rsidRDefault="008957CF" w:rsidP="00A63DDA">
      <w:pPr>
        <w:spacing w:line="276" w:lineRule="auto"/>
        <w:rPr>
          <w:rFonts w:ascii="Arial" w:hAnsi="Arial" w:cs="Arial"/>
          <w:color w:val="7F7F7F" w:themeColor="text1" w:themeTint="80"/>
          <w:sz w:val="20"/>
          <w:szCs w:val="20"/>
        </w:rPr>
      </w:pPr>
      <w:r>
        <w:rPr>
          <w:rFonts w:ascii="Arial" w:hAnsi="Arial" w:cs="Arial"/>
          <w:color w:val="7F7F7F" w:themeColor="text1" w:themeTint="80"/>
          <w:sz w:val="20"/>
          <w:szCs w:val="20"/>
        </w:rPr>
        <w:t xml:space="preserve">If the construction professionals </w:t>
      </w:r>
      <w:r w:rsidR="00A63DDA" w:rsidRPr="00A63DDA">
        <w:rPr>
          <w:rFonts w:ascii="Arial" w:hAnsi="Arial" w:cs="Arial"/>
          <w:color w:val="7F7F7F" w:themeColor="text1" w:themeTint="80"/>
          <w:sz w:val="20"/>
          <w:szCs w:val="20"/>
        </w:rPr>
        <w:t xml:space="preserve">of the bridge had SPPI insurance, </w:t>
      </w:r>
      <w:r>
        <w:rPr>
          <w:rFonts w:ascii="Arial" w:hAnsi="Arial" w:cs="Arial"/>
          <w:color w:val="7F7F7F" w:themeColor="text1" w:themeTint="80"/>
          <w:sz w:val="20"/>
          <w:szCs w:val="20"/>
        </w:rPr>
        <w:t>t</w:t>
      </w:r>
      <w:r w:rsidR="00A63DDA" w:rsidRPr="00A63DDA">
        <w:rPr>
          <w:rFonts w:ascii="Arial" w:hAnsi="Arial" w:cs="Arial"/>
          <w:color w:val="7F7F7F" w:themeColor="text1" w:themeTint="80"/>
          <w:sz w:val="20"/>
          <w:szCs w:val="20"/>
        </w:rPr>
        <w:t xml:space="preserve">his policy would cover the 10 million dollar redesign, quickly and efficiently, because SPPI protects all the professionals involved in the project – </w:t>
      </w:r>
      <w:r w:rsidR="00A63DDA" w:rsidRPr="00A63DDA">
        <w:rPr>
          <w:rFonts w:ascii="Arial" w:hAnsi="Arial" w:cs="Arial"/>
          <w:i/>
          <w:color w:val="7F7F7F" w:themeColor="text1" w:themeTint="80"/>
          <w:sz w:val="20"/>
          <w:szCs w:val="20"/>
        </w:rPr>
        <w:t>everyone</w:t>
      </w:r>
      <w:r w:rsidR="00A63DDA" w:rsidRPr="00A63DDA">
        <w:rPr>
          <w:rFonts w:ascii="Arial" w:hAnsi="Arial" w:cs="Arial"/>
          <w:color w:val="7F7F7F" w:themeColor="text1" w:themeTint="80"/>
          <w:sz w:val="20"/>
          <w:szCs w:val="20"/>
        </w:rPr>
        <w:t xml:space="preserve"> providing professional services – and realistic limits are agreed upfront.</w:t>
      </w:r>
    </w:p>
    <w:p w:rsidR="00A63DDA" w:rsidRPr="00A63DDA" w:rsidRDefault="00A63DDA" w:rsidP="00A63DDA">
      <w:pPr>
        <w:spacing w:line="276" w:lineRule="auto"/>
        <w:rPr>
          <w:rFonts w:ascii="Arial" w:hAnsi="Arial" w:cs="Arial"/>
          <w:color w:val="7F7F7F" w:themeColor="text1" w:themeTint="80"/>
          <w:sz w:val="20"/>
          <w:szCs w:val="20"/>
        </w:rPr>
      </w:pPr>
    </w:p>
    <w:p w:rsidR="00A63DDA" w:rsidRPr="00A63DDA" w:rsidRDefault="00A63DDA" w:rsidP="00A63DDA">
      <w:pPr>
        <w:spacing w:line="276" w:lineRule="auto"/>
        <w:rPr>
          <w:rFonts w:ascii="Arial" w:hAnsi="Arial" w:cs="Arial"/>
          <w:color w:val="7F7F7F" w:themeColor="text1" w:themeTint="80"/>
          <w:sz w:val="20"/>
          <w:szCs w:val="20"/>
        </w:rPr>
      </w:pPr>
      <w:r w:rsidRPr="00A63DDA">
        <w:rPr>
          <w:rFonts w:ascii="Arial" w:hAnsi="Arial" w:cs="Arial"/>
          <w:color w:val="7F7F7F" w:themeColor="text1" w:themeTint="80"/>
          <w:sz w:val="20"/>
          <w:szCs w:val="20"/>
        </w:rPr>
        <w:t>Another key benefit is the cover duration. SPPI policies provide coverage for the whole of the project period plus a discovery period of up to 10 years</w:t>
      </w:r>
      <w:r w:rsidR="00FA215B">
        <w:rPr>
          <w:rFonts w:ascii="Arial" w:hAnsi="Arial" w:cs="Arial"/>
          <w:color w:val="7F7F7F" w:themeColor="text1" w:themeTint="80"/>
          <w:sz w:val="20"/>
          <w:szCs w:val="20"/>
        </w:rPr>
        <w:t xml:space="preserve"> or more</w:t>
      </w:r>
      <w:r w:rsidRPr="00A63DDA">
        <w:rPr>
          <w:rFonts w:ascii="Arial" w:hAnsi="Arial" w:cs="Arial"/>
          <w:color w:val="7F7F7F" w:themeColor="text1" w:themeTint="80"/>
          <w:sz w:val="20"/>
          <w:szCs w:val="20"/>
        </w:rPr>
        <w:t xml:space="preserve">. Claims can arise well after the end of the construction period, of course, so this can be a really welcome feature. </w:t>
      </w:r>
    </w:p>
    <w:p w:rsidR="00A63DDA" w:rsidRPr="00A63DDA" w:rsidRDefault="00A63DDA" w:rsidP="00A63DDA">
      <w:pPr>
        <w:spacing w:line="276" w:lineRule="auto"/>
        <w:rPr>
          <w:rFonts w:ascii="Arial" w:hAnsi="Arial" w:cs="Arial"/>
          <w:color w:val="7F7F7F" w:themeColor="text1" w:themeTint="80"/>
          <w:sz w:val="20"/>
          <w:szCs w:val="20"/>
        </w:rPr>
      </w:pPr>
    </w:p>
    <w:p w:rsidR="00A63DDA" w:rsidRPr="00A63DDA" w:rsidRDefault="00A63DDA" w:rsidP="00A63DDA">
      <w:pPr>
        <w:spacing w:line="276" w:lineRule="auto"/>
        <w:rPr>
          <w:rFonts w:ascii="Arial" w:hAnsi="Arial" w:cs="Arial"/>
          <w:color w:val="7F7F7F" w:themeColor="text1" w:themeTint="80"/>
          <w:sz w:val="20"/>
          <w:szCs w:val="20"/>
        </w:rPr>
      </w:pPr>
      <w:r w:rsidRPr="00A63DDA">
        <w:rPr>
          <w:rFonts w:ascii="Arial" w:hAnsi="Arial" w:cs="Arial"/>
          <w:color w:val="7F7F7F" w:themeColor="text1" w:themeTint="80"/>
          <w:sz w:val="20"/>
          <w:szCs w:val="20"/>
        </w:rPr>
        <w:t xml:space="preserve">A word about joint ventures now, </w:t>
      </w:r>
      <w:r w:rsidR="00FA215B">
        <w:rPr>
          <w:rFonts w:ascii="Arial" w:hAnsi="Arial" w:cs="Arial"/>
          <w:color w:val="7F7F7F" w:themeColor="text1" w:themeTint="80"/>
          <w:sz w:val="20"/>
          <w:szCs w:val="20"/>
        </w:rPr>
        <w:t xml:space="preserve">because SPPI benefits </w:t>
      </w:r>
      <w:r w:rsidRPr="00A63DDA">
        <w:rPr>
          <w:rFonts w:ascii="Arial" w:hAnsi="Arial" w:cs="Arial"/>
          <w:color w:val="7F7F7F" w:themeColor="text1" w:themeTint="80"/>
          <w:sz w:val="20"/>
          <w:szCs w:val="20"/>
        </w:rPr>
        <w:t>apply to joint ventures too. This might be a consortium of consultants and contractors who are pooling their resources and expertise on a large construction project, for example.</w:t>
      </w:r>
    </w:p>
    <w:p w:rsidR="00A63DDA" w:rsidRPr="00A63DDA" w:rsidRDefault="00A63DDA" w:rsidP="00A63DDA">
      <w:pPr>
        <w:spacing w:line="276" w:lineRule="auto"/>
        <w:rPr>
          <w:rFonts w:ascii="Arial" w:hAnsi="Arial" w:cs="Arial"/>
          <w:color w:val="7F7F7F" w:themeColor="text1" w:themeTint="80"/>
          <w:sz w:val="20"/>
          <w:szCs w:val="20"/>
        </w:rPr>
      </w:pPr>
    </w:p>
    <w:p w:rsidR="00A63DDA" w:rsidRPr="00A63DDA" w:rsidRDefault="00A63DDA" w:rsidP="00A63DDA">
      <w:pPr>
        <w:spacing w:line="276" w:lineRule="auto"/>
        <w:rPr>
          <w:rFonts w:ascii="Arial" w:hAnsi="Arial" w:cs="Arial"/>
          <w:color w:val="7F7F7F" w:themeColor="text1" w:themeTint="80"/>
          <w:sz w:val="20"/>
          <w:szCs w:val="20"/>
        </w:rPr>
      </w:pPr>
      <w:r w:rsidRPr="00A63DDA">
        <w:rPr>
          <w:rFonts w:ascii="Arial" w:hAnsi="Arial" w:cs="Arial"/>
          <w:color w:val="7F7F7F" w:themeColor="text1" w:themeTint="80"/>
          <w:sz w:val="20"/>
          <w:szCs w:val="20"/>
        </w:rPr>
        <w:t>If they take out an SPPI policy for the joint venture, the total cost of their insurance cover will be established at the outset. It can then be budgeted and charged to the project.</w:t>
      </w:r>
    </w:p>
    <w:p w:rsidR="00A63DDA" w:rsidRPr="00A63DDA" w:rsidRDefault="00A63DDA" w:rsidP="00A63DDA">
      <w:pPr>
        <w:spacing w:line="276" w:lineRule="auto"/>
        <w:rPr>
          <w:rFonts w:ascii="Arial" w:hAnsi="Arial" w:cs="Arial"/>
          <w:color w:val="7F7F7F" w:themeColor="text1" w:themeTint="80"/>
          <w:sz w:val="20"/>
          <w:szCs w:val="20"/>
        </w:rPr>
      </w:pPr>
    </w:p>
    <w:p w:rsidR="00A63DDA" w:rsidRPr="00A63DDA" w:rsidRDefault="00A63DDA" w:rsidP="00A63DDA">
      <w:pPr>
        <w:spacing w:line="276" w:lineRule="auto"/>
        <w:rPr>
          <w:rFonts w:ascii="Arial" w:hAnsi="Arial" w:cs="Arial"/>
          <w:color w:val="7F7F7F" w:themeColor="text1" w:themeTint="80"/>
          <w:sz w:val="20"/>
          <w:szCs w:val="20"/>
        </w:rPr>
      </w:pPr>
      <w:r w:rsidRPr="00A63DDA">
        <w:rPr>
          <w:rFonts w:ascii="Arial" w:hAnsi="Arial" w:cs="Arial"/>
          <w:color w:val="7F7F7F" w:themeColor="text1" w:themeTint="80"/>
          <w:sz w:val="20"/>
          <w:szCs w:val="20"/>
        </w:rPr>
        <w:t xml:space="preserve">Also, having </w:t>
      </w:r>
      <w:r w:rsidR="00AD3B63">
        <w:rPr>
          <w:rFonts w:ascii="Arial" w:hAnsi="Arial" w:cs="Arial"/>
          <w:color w:val="7F7F7F" w:themeColor="text1" w:themeTint="80"/>
          <w:sz w:val="20"/>
          <w:szCs w:val="20"/>
        </w:rPr>
        <w:t xml:space="preserve">SPPI cover for the joint venture </w:t>
      </w:r>
      <w:r w:rsidRPr="00A63DDA">
        <w:rPr>
          <w:rFonts w:ascii="Arial" w:hAnsi="Arial" w:cs="Arial"/>
          <w:color w:val="7F7F7F" w:themeColor="text1" w:themeTint="80"/>
          <w:sz w:val="20"/>
          <w:szCs w:val="20"/>
        </w:rPr>
        <w:t xml:space="preserve">protects the PI coverage – and premium levels – of the individual </w:t>
      </w:r>
      <w:r w:rsidR="008957CF">
        <w:rPr>
          <w:rFonts w:ascii="Arial" w:hAnsi="Arial" w:cs="Arial"/>
          <w:color w:val="7F7F7F" w:themeColor="text1" w:themeTint="80"/>
          <w:sz w:val="20"/>
          <w:szCs w:val="20"/>
        </w:rPr>
        <w:t xml:space="preserve">professional parties </w:t>
      </w:r>
      <w:r w:rsidRPr="00A63DDA">
        <w:rPr>
          <w:rFonts w:ascii="Arial" w:hAnsi="Arial" w:cs="Arial"/>
          <w:color w:val="7F7F7F" w:themeColor="text1" w:themeTint="80"/>
          <w:sz w:val="20"/>
          <w:szCs w:val="20"/>
        </w:rPr>
        <w:t>and prevents disputes over liability for claims, not just for the duration of the construction period but for</w:t>
      </w:r>
      <w:r w:rsidR="008957CF">
        <w:rPr>
          <w:rFonts w:ascii="Arial" w:hAnsi="Arial" w:cs="Arial"/>
          <w:color w:val="7F7F7F" w:themeColor="text1" w:themeTint="80"/>
          <w:sz w:val="20"/>
          <w:szCs w:val="20"/>
        </w:rPr>
        <w:t xml:space="preserve"> up to</w:t>
      </w:r>
      <w:r w:rsidRPr="00A63DDA">
        <w:rPr>
          <w:rFonts w:ascii="Arial" w:hAnsi="Arial" w:cs="Arial"/>
          <w:color w:val="7F7F7F" w:themeColor="text1" w:themeTint="80"/>
          <w:sz w:val="20"/>
          <w:szCs w:val="20"/>
        </w:rPr>
        <w:t xml:space="preserve"> 10 years</w:t>
      </w:r>
      <w:r w:rsidR="00AD3B63">
        <w:rPr>
          <w:rFonts w:ascii="Arial" w:hAnsi="Arial" w:cs="Arial"/>
          <w:color w:val="7F7F7F" w:themeColor="text1" w:themeTint="80"/>
          <w:sz w:val="20"/>
          <w:szCs w:val="20"/>
        </w:rPr>
        <w:t xml:space="preserve"> or longer</w:t>
      </w:r>
      <w:r w:rsidRPr="00A63DDA">
        <w:rPr>
          <w:rFonts w:ascii="Arial" w:hAnsi="Arial" w:cs="Arial"/>
          <w:color w:val="7F7F7F" w:themeColor="text1" w:themeTint="80"/>
          <w:sz w:val="20"/>
          <w:szCs w:val="20"/>
        </w:rPr>
        <w:t xml:space="preserve"> after the project ends.</w:t>
      </w:r>
    </w:p>
    <w:p w:rsidR="00A63DDA" w:rsidRPr="00A63DDA" w:rsidRDefault="00A63DDA" w:rsidP="00A63DDA">
      <w:pPr>
        <w:spacing w:line="276" w:lineRule="auto"/>
        <w:rPr>
          <w:rFonts w:ascii="Arial" w:hAnsi="Arial" w:cs="Arial"/>
          <w:color w:val="7F7F7F" w:themeColor="text1" w:themeTint="80"/>
          <w:sz w:val="20"/>
          <w:szCs w:val="20"/>
        </w:rPr>
      </w:pPr>
    </w:p>
    <w:p w:rsidR="00A63DDA" w:rsidRPr="00A63DDA" w:rsidRDefault="008957CF" w:rsidP="00A63DDA">
      <w:pPr>
        <w:spacing w:line="276" w:lineRule="auto"/>
        <w:rPr>
          <w:rFonts w:ascii="Arial" w:hAnsi="Arial" w:cs="Arial"/>
          <w:color w:val="7F7F7F" w:themeColor="text1" w:themeTint="80"/>
          <w:sz w:val="20"/>
          <w:szCs w:val="20"/>
        </w:rPr>
      </w:pPr>
      <w:r>
        <w:rPr>
          <w:rFonts w:ascii="Arial" w:hAnsi="Arial" w:cs="Arial"/>
          <w:color w:val="7F7F7F" w:themeColor="text1" w:themeTint="80"/>
          <w:sz w:val="20"/>
          <w:szCs w:val="20"/>
        </w:rPr>
        <w:t>SPPI insureds</w:t>
      </w:r>
      <w:r w:rsidR="00A63DDA" w:rsidRPr="00A63DDA">
        <w:rPr>
          <w:rFonts w:ascii="Arial" w:hAnsi="Arial" w:cs="Arial"/>
          <w:color w:val="7F7F7F" w:themeColor="text1" w:themeTint="80"/>
          <w:sz w:val="20"/>
          <w:szCs w:val="20"/>
        </w:rPr>
        <w:t xml:space="preserve"> –</w:t>
      </w:r>
      <w:r>
        <w:rPr>
          <w:rFonts w:ascii="Arial" w:hAnsi="Arial" w:cs="Arial"/>
          <w:color w:val="7F7F7F" w:themeColor="text1" w:themeTint="80"/>
          <w:sz w:val="20"/>
          <w:szCs w:val="20"/>
        </w:rPr>
        <w:t xml:space="preserve"> </w:t>
      </w:r>
      <w:r w:rsidR="00A63DDA" w:rsidRPr="00A63DDA">
        <w:rPr>
          <w:rFonts w:ascii="Arial" w:hAnsi="Arial" w:cs="Arial"/>
          <w:color w:val="7F7F7F" w:themeColor="text1" w:themeTint="80"/>
          <w:sz w:val="20"/>
          <w:szCs w:val="20"/>
        </w:rPr>
        <w:t>are entitled to 4 hours of complementary service from specialist construction lawyers, who can review the contracts the client is entering into and offer advice on cover and legal issues. They can also make legal rec</w:t>
      </w:r>
      <w:r>
        <w:rPr>
          <w:rFonts w:ascii="Arial" w:hAnsi="Arial" w:cs="Arial"/>
          <w:color w:val="7F7F7F" w:themeColor="text1" w:themeTint="80"/>
          <w:sz w:val="20"/>
          <w:szCs w:val="20"/>
        </w:rPr>
        <w:t>ommendations, for example on suitability of insurance or</w:t>
      </w:r>
      <w:r w:rsidR="00A63DDA" w:rsidRPr="00A63DDA">
        <w:rPr>
          <w:rFonts w:ascii="Arial" w:hAnsi="Arial" w:cs="Arial"/>
          <w:color w:val="7F7F7F" w:themeColor="text1" w:themeTint="80"/>
          <w:sz w:val="20"/>
          <w:szCs w:val="20"/>
        </w:rPr>
        <w:t xml:space="preserve"> alternative wording, and can provide analysis on the draft contra</w:t>
      </w:r>
      <w:r>
        <w:rPr>
          <w:rFonts w:ascii="Arial" w:hAnsi="Arial" w:cs="Arial"/>
          <w:color w:val="7F7F7F" w:themeColor="text1" w:themeTint="80"/>
          <w:sz w:val="20"/>
          <w:szCs w:val="20"/>
        </w:rPr>
        <w:t xml:space="preserve">ct’s </w:t>
      </w:r>
      <w:r w:rsidR="00A63DDA" w:rsidRPr="00A63DDA">
        <w:rPr>
          <w:rFonts w:ascii="Arial" w:hAnsi="Arial" w:cs="Arial"/>
          <w:color w:val="7F7F7F" w:themeColor="text1" w:themeTint="80"/>
          <w:sz w:val="20"/>
          <w:szCs w:val="20"/>
        </w:rPr>
        <w:t>provisions. All of this advice is confidential.</w:t>
      </w:r>
    </w:p>
    <w:p w:rsidR="00A63DDA" w:rsidRPr="00A63DDA" w:rsidRDefault="00A63DDA" w:rsidP="00A63DDA">
      <w:pPr>
        <w:spacing w:line="276" w:lineRule="auto"/>
        <w:rPr>
          <w:rFonts w:ascii="Arial" w:hAnsi="Arial" w:cs="Arial"/>
          <w:color w:val="7F7F7F" w:themeColor="text1" w:themeTint="80"/>
          <w:sz w:val="20"/>
          <w:szCs w:val="20"/>
        </w:rPr>
      </w:pPr>
    </w:p>
    <w:p w:rsidR="00A63DDA" w:rsidRPr="00A63DDA" w:rsidRDefault="00A63DDA" w:rsidP="00A63DDA">
      <w:pPr>
        <w:spacing w:line="276" w:lineRule="auto"/>
        <w:rPr>
          <w:rFonts w:ascii="Arial" w:hAnsi="Arial" w:cs="Arial"/>
          <w:color w:val="7F7F7F" w:themeColor="text1" w:themeTint="80"/>
          <w:sz w:val="20"/>
          <w:szCs w:val="20"/>
        </w:rPr>
      </w:pPr>
      <w:r w:rsidRPr="00A63DDA">
        <w:rPr>
          <w:rFonts w:ascii="Arial" w:hAnsi="Arial" w:cs="Arial"/>
          <w:color w:val="7F7F7F" w:themeColor="text1" w:themeTint="80"/>
          <w:sz w:val="20"/>
          <w:szCs w:val="20"/>
        </w:rPr>
        <w:t>You heard a hypothetical example of a potential claim earlier. Here’s a real one from our claims department, to give a better idea of what this coverage looks like in practice.</w:t>
      </w:r>
    </w:p>
    <w:p w:rsidR="00A63DDA" w:rsidRPr="00A63DDA" w:rsidRDefault="00A63DDA" w:rsidP="00A63DDA">
      <w:pPr>
        <w:spacing w:line="276" w:lineRule="auto"/>
        <w:rPr>
          <w:rFonts w:ascii="Arial" w:hAnsi="Arial" w:cs="Arial"/>
          <w:color w:val="7F7F7F" w:themeColor="text1" w:themeTint="80"/>
          <w:sz w:val="20"/>
          <w:szCs w:val="20"/>
        </w:rPr>
      </w:pPr>
    </w:p>
    <w:p w:rsidR="00A63DDA" w:rsidRPr="00A63DDA" w:rsidRDefault="00A63DDA" w:rsidP="00A63DDA">
      <w:pPr>
        <w:spacing w:line="276" w:lineRule="auto"/>
        <w:rPr>
          <w:rFonts w:ascii="Arial" w:hAnsi="Arial" w:cs="Arial"/>
          <w:color w:val="7F7F7F" w:themeColor="text1" w:themeTint="80"/>
          <w:sz w:val="20"/>
          <w:szCs w:val="20"/>
        </w:rPr>
      </w:pPr>
      <w:r w:rsidRPr="00A63DDA">
        <w:rPr>
          <w:rFonts w:ascii="Arial" w:hAnsi="Arial" w:cs="Arial"/>
          <w:color w:val="7F7F7F" w:themeColor="text1" w:themeTint="80"/>
          <w:sz w:val="20"/>
          <w:szCs w:val="20"/>
        </w:rPr>
        <w:t xml:space="preserve">Picture a brand new timeshare development – gleaming apartments standing empty and expectant, waiting for the influx of holiday makers. Then a hurricane hits and it rains for days. When the sun comes out again, mould appears on the walls – and with it comes an unpleasant smell that won’t go away. It turns out the walls need to be replaced at a cost of 17 million dollars. </w:t>
      </w:r>
    </w:p>
    <w:p w:rsidR="00A63DDA" w:rsidRPr="00A63DDA" w:rsidRDefault="00A63DDA" w:rsidP="00A63DDA">
      <w:pPr>
        <w:spacing w:line="276" w:lineRule="auto"/>
        <w:rPr>
          <w:rFonts w:ascii="Arial" w:hAnsi="Arial" w:cs="Arial"/>
          <w:color w:val="7F7F7F" w:themeColor="text1" w:themeTint="80"/>
          <w:sz w:val="20"/>
          <w:szCs w:val="20"/>
        </w:rPr>
      </w:pPr>
    </w:p>
    <w:p w:rsidR="00A63DDA" w:rsidRPr="00A63DDA" w:rsidRDefault="00A63DDA" w:rsidP="00A63DDA">
      <w:pPr>
        <w:spacing w:line="276" w:lineRule="auto"/>
        <w:rPr>
          <w:rFonts w:ascii="Arial" w:hAnsi="Arial" w:cs="Arial"/>
          <w:color w:val="7F7F7F" w:themeColor="text1" w:themeTint="80"/>
          <w:sz w:val="20"/>
          <w:szCs w:val="20"/>
        </w:rPr>
      </w:pPr>
      <w:r w:rsidRPr="00A63DDA">
        <w:rPr>
          <w:rFonts w:ascii="Arial" w:hAnsi="Arial" w:cs="Arial"/>
          <w:color w:val="7F7F7F" w:themeColor="text1" w:themeTint="80"/>
          <w:sz w:val="20"/>
          <w:szCs w:val="20"/>
        </w:rPr>
        <w:t>Why did this happen? A design and specification was used that wasn’t suitable for the location of the flats. But thanks to SPPI insurance, all the consultants and sub-contractors involved in the design and construction of this project were protected. AIG picked up the tab for the new walls. This is a great example of how this product can help.</w:t>
      </w:r>
    </w:p>
    <w:p w:rsidR="00A63DDA" w:rsidRPr="00A63DDA" w:rsidRDefault="00A63DDA" w:rsidP="00A63DDA">
      <w:pPr>
        <w:spacing w:line="276" w:lineRule="auto"/>
        <w:rPr>
          <w:rFonts w:ascii="Arial" w:hAnsi="Arial" w:cs="Arial"/>
          <w:color w:val="7F7F7F" w:themeColor="text1" w:themeTint="80"/>
          <w:sz w:val="20"/>
          <w:szCs w:val="20"/>
        </w:rPr>
      </w:pPr>
    </w:p>
    <w:p w:rsidR="00A63DDA" w:rsidRPr="00A63DDA" w:rsidRDefault="008957CF" w:rsidP="00A63DDA">
      <w:pPr>
        <w:spacing w:line="276" w:lineRule="auto"/>
        <w:rPr>
          <w:rFonts w:ascii="Arial" w:hAnsi="Arial" w:cs="Arial"/>
          <w:color w:val="7F7F7F" w:themeColor="text1" w:themeTint="80"/>
          <w:sz w:val="20"/>
          <w:szCs w:val="20"/>
        </w:rPr>
      </w:pPr>
      <w:r>
        <w:rPr>
          <w:rFonts w:ascii="Arial" w:hAnsi="Arial" w:cs="Arial"/>
          <w:color w:val="7F7F7F" w:themeColor="text1" w:themeTint="80"/>
          <w:sz w:val="20"/>
          <w:szCs w:val="20"/>
        </w:rPr>
        <w:t>SPPI can be tailored to projects</w:t>
      </w:r>
      <w:r w:rsidR="00A63DDA" w:rsidRPr="00A63DDA">
        <w:rPr>
          <w:rFonts w:ascii="Arial" w:hAnsi="Arial" w:cs="Arial"/>
          <w:color w:val="7F7F7F" w:themeColor="text1" w:themeTint="80"/>
          <w:sz w:val="20"/>
          <w:szCs w:val="20"/>
        </w:rPr>
        <w:t xml:space="preserve"> of various sizes, and we’re especially interested in projects with a construction value of over </w:t>
      </w:r>
      <w:r w:rsidR="00F81D75">
        <w:rPr>
          <w:rFonts w:ascii="Arial" w:hAnsi="Arial" w:cs="Arial"/>
          <w:color w:val="7F7F7F" w:themeColor="text1" w:themeTint="80"/>
          <w:sz w:val="20"/>
          <w:szCs w:val="20"/>
        </w:rPr>
        <w:t>$</w:t>
      </w:r>
      <w:r w:rsidR="00A63DDA" w:rsidRPr="00A63DDA">
        <w:rPr>
          <w:rFonts w:ascii="Arial" w:hAnsi="Arial" w:cs="Arial"/>
          <w:color w:val="7F7F7F" w:themeColor="text1" w:themeTint="80"/>
          <w:sz w:val="20"/>
          <w:szCs w:val="20"/>
        </w:rPr>
        <w:t>50 million dollars. Some examples of construction projects we’ve covered through SPPI are churches, government buildings, universit</w:t>
      </w:r>
      <w:r>
        <w:rPr>
          <w:rFonts w:ascii="Arial" w:hAnsi="Arial" w:cs="Arial"/>
          <w:color w:val="7F7F7F" w:themeColor="text1" w:themeTint="80"/>
          <w:sz w:val="20"/>
          <w:szCs w:val="20"/>
        </w:rPr>
        <w:t xml:space="preserve">ies, car parks, restaurants, </w:t>
      </w:r>
      <w:r w:rsidR="00A63DDA" w:rsidRPr="00A63DDA">
        <w:rPr>
          <w:rFonts w:ascii="Arial" w:hAnsi="Arial" w:cs="Arial"/>
          <w:color w:val="7F7F7F" w:themeColor="text1" w:themeTint="80"/>
          <w:sz w:val="20"/>
          <w:szCs w:val="20"/>
        </w:rPr>
        <w:t>roads</w:t>
      </w:r>
      <w:r>
        <w:rPr>
          <w:rFonts w:ascii="Arial" w:hAnsi="Arial" w:cs="Arial"/>
          <w:color w:val="7F7F7F" w:themeColor="text1" w:themeTint="80"/>
          <w:sz w:val="20"/>
          <w:szCs w:val="20"/>
        </w:rPr>
        <w:t xml:space="preserve"> and major rail projects</w:t>
      </w:r>
      <w:r w:rsidR="00A63DDA" w:rsidRPr="00A63DDA">
        <w:rPr>
          <w:rFonts w:ascii="Arial" w:hAnsi="Arial" w:cs="Arial"/>
          <w:color w:val="7F7F7F" w:themeColor="text1" w:themeTint="80"/>
          <w:sz w:val="20"/>
          <w:szCs w:val="20"/>
        </w:rPr>
        <w:t>.</w:t>
      </w:r>
    </w:p>
    <w:p w:rsidR="00A63DDA" w:rsidRPr="00A63DDA" w:rsidRDefault="00A63DDA" w:rsidP="00A63DDA">
      <w:pPr>
        <w:spacing w:line="276" w:lineRule="auto"/>
        <w:rPr>
          <w:rFonts w:ascii="Arial" w:hAnsi="Arial" w:cs="Arial"/>
          <w:color w:val="7F7F7F" w:themeColor="text1" w:themeTint="80"/>
          <w:sz w:val="20"/>
          <w:szCs w:val="20"/>
        </w:rPr>
      </w:pPr>
    </w:p>
    <w:p w:rsidR="00A63DDA" w:rsidRPr="00A63DDA" w:rsidRDefault="00A63DDA" w:rsidP="00A63DDA">
      <w:pPr>
        <w:spacing w:line="276" w:lineRule="auto"/>
        <w:rPr>
          <w:rFonts w:ascii="Arial" w:hAnsi="Arial" w:cs="Arial"/>
          <w:color w:val="7F7F7F" w:themeColor="text1" w:themeTint="80"/>
          <w:sz w:val="20"/>
          <w:szCs w:val="20"/>
        </w:rPr>
      </w:pPr>
      <w:r w:rsidRPr="00A63DDA">
        <w:rPr>
          <w:rFonts w:ascii="Arial" w:hAnsi="Arial" w:cs="Arial"/>
          <w:color w:val="7F7F7F" w:themeColor="text1" w:themeTint="80"/>
          <w:sz w:val="20"/>
          <w:szCs w:val="20"/>
        </w:rPr>
        <w:t xml:space="preserve">You can find more information about the target market and other aspects of this product in this app and on our website, so do take a look. </w:t>
      </w:r>
    </w:p>
    <w:p w:rsidR="00A63DDA" w:rsidRDefault="00A63DDA" w:rsidP="004E3FFA">
      <w:pPr>
        <w:pStyle w:val="Subheads"/>
      </w:pPr>
    </w:p>
    <w:sectPr w:rsidR="00A63DDA" w:rsidSect="00DB4DDD">
      <w:pgSz w:w="11906" w:h="16838"/>
      <w:pgMar w:top="1440" w:right="2268" w:bottom="1440"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26F2D"/>
    <w:multiLevelType w:val="hybridMultilevel"/>
    <w:tmpl w:val="349E0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16476557"/>
    <w:multiLevelType w:val="hybridMultilevel"/>
    <w:tmpl w:val="2DAA586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20202E7F"/>
    <w:multiLevelType w:val="hybridMultilevel"/>
    <w:tmpl w:val="0CFA44A4"/>
    <w:lvl w:ilvl="0" w:tplc="B3F07DD0">
      <w:start w:val="1"/>
      <w:numFmt w:val="bullet"/>
      <w:lvlText w:val="–"/>
      <w:lvlJc w:val="left"/>
      <w:pPr>
        <w:ind w:left="1146"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87BEA"/>
    <w:multiLevelType w:val="hybridMultilevel"/>
    <w:tmpl w:val="B816B21A"/>
    <w:lvl w:ilvl="0" w:tplc="29DAF7B6">
      <w:start w:val="1"/>
      <w:numFmt w:val="bullet"/>
      <w:pStyle w:val="dashes"/>
      <w:lvlText w:val="–"/>
      <w:lvlJc w:val="left"/>
      <w:pPr>
        <w:ind w:left="1146"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70665"/>
    <w:multiLevelType w:val="hybridMultilevel"/>
    <w:tmpl w:val="A964D9EE"/>
    <w:lvl w:ilvl="0" w:tplc="3C2CF344">
      <w:start w:val="1"/>
      <w:numFmt w:val="bullet"/>
      <w:pStyle w:val="bullets"/>
      <w:lvlText w:val=""/>
      <w:lvlJc w:val="left"/>
      <w:pPr>
        <w:ind w:left="107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9726D"/>
    <w:multiLevelType w:val="hybridMultilevel"/>
    <w:tmpl w:val="ADA899E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2B2722CC"/>
    <w:multiLevelType w:val="hybridMultilevel"/>
    <w:tmpl w:val="FAEA90C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F46F81"/>
    <w:multiLevelType w:val="hybridMultilevel"/>
    <w:tmpl w:val="D56E6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30E74D6F"/>
    <w:multiLevelType w:val="hybridMultilevel"/>
    <w:tmpl w:val="E272C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nsid w:val="3E7011B0"/>
    <w:multiLevelType w:val="multilevel"/>
    <w:tmpl w:val="81F0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6A6A27"/>
    <w:multiLevelType w:val="multilevel"/>
    <w:tmpl w:val="3992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D465C4"/>
    <w:multiLevelType w:val="hybridMultilevel"/>
    <w:tmpl w:val="5F3C1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nsid w:val="53831A66"/>
    <w:multiLevelType w:val="hybridMultilevel"/>
    <w:tmpl w:val="C7A49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F86459"/>
    <w:multiLevelType w:val="hybridMultilevel"/>
    <w:tmpl w:val="E83260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C076BC"/>
    <w:multiLevelType w:val="hybridMultilevel"/>
    <w:tmpl w:val="228A76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8AE5C9A"/>
    <w:multiLevelType w:val="hybridMultilevel"/>
    <w:tmpl w:val="7EE23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nsid w:val="60EC116A"/>
    <w:multiLevelType w:val="hybridMultilevel"/>
    <w:tmpl w:val="2A4C2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nsid w:val="65942C06"/>
    <w:multiLevelType w:val="hybridMultilevel"/>
    <w:tmpl w:val="4C9EA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B02914"/>
    <w:multiLevelType w:val="hybridMultilevel"/>
    <w:tmpl w:val="571A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2B14AB"/>
    <w:multiLevelType w:val="hybridMultilevel"/>
    <w:tmpl w:val="5288A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B4B3605"/>
    <w:multiLevelType w:val="hybridMultilevel"/>
    <w:tmpl w:val="C564278A"/>
    <w:lvl w:ilvl="0" w:tplc="40403244">
      <w:start w:val="1"/>
      <w:numFmt w:val="decimal"/>
      <w:pStyle w:val="number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FC74E75"/>
    <w:multiLevelType w:val="hybridMultilevel"/>
    <w:tmpl w:val="641E5734"/>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num w:numId="1">
    <w:abstractNumId w:val="19"/>
  </w:num>
  <w:num w:numId="2">
    <w:abstractNumId w:val="10"/>
  </w:num>
  <w:num w:numId="3">
    <w:abstractNumId w:val="4"/>
  </w:num>
  <w:num w:numId="4">
    <w:abstractNumId w:val="20"/>
  </w:num>
  <w:num w:numId="5">
    <w:abstractNumId w:val="17"/>
  </w:num>
  <w:num w:numId="6">
    <w:abstractNumId w:val="9"/>
  </w:num>
  <w:num w:numId="7">
    <w:abstractNumId w:val="5"/>
  </w:num>
  <w:num w:numId="8">
    <w:abstractNumId w:val="6"/>
  </w:num>
  <w:num w:numId="9">
    <w:abstractNumId w:val="14"/>
  </w:num>
  <w:num w:numId="10">
    <w:abstractNumId w:val="1"/>
  </w:num>
  <w:num w:numId="11">
    <w:abstractNumId w:val="8"/>
  </w:num>
  <w:num w:numId="12">
    <w:abstractNumId w:val="0"/>
  </w:num>
  <w:num w:numId="13">
    <w:abstractNumId w:val="0"/>
  </w:num>
  <w:num w:numId="14">
    <w:abstractNumId w:val="18"/>
  </w:num>
  <w:num w:numId="15">
    <w:abstractNumId w:val="16"/>
  </w:num>
  <w:num w:numId="16">
    <w:abstractNumId w:val="11"/>
  </w:num>
  <w:num w:numId="17">
    <w:abstractNumId w:val="15"/>
  </w:num>
  <w:num w:numId="18">
    <w:abstractNumId w:val="7"/>
  </w:num>
  <w:num w:numId="19">
    <w:abstractNumId w:val="2"/>
  </w:num>
  <w:num w:numId="20">
    <w:abstractNumId w:val="3"/>
  </w:num>
  <w:num w:numId="21">
    <w:abstractNumId w:val="12"/>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13"/>
  </w:num>
  <w:num w:numId="35">
    <w:abstractNumId w:val="4"/>
  </w:num>
  <w:num w:numId="36">
    <w:abstractNumId w:val="4"/>
  </w:num>
  <w:num w:numId="37">
    <w:abstractNumId w:val="4"/>
  </w:num>
  <w:num w:numId="38">
    <w:abstractNumId w:val="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0E"/>
    <w:rsid w:val="00001C5D"/>
    <w:rsid w:val="000057C9"/>
    <w:rsid w:val="00010F75"/>
    <w:rsid w:val="0001166D"/>
    <w:rsid w:val="00013721"/>
    <w:rsid w:val="00017C8A"/>
    <w:rsid w:val="0002024A"/>
    <w:rsid w:val="00021491"/>
    <w:rsid w:val="00021F2E"/>
    <w:rsid w:val="00022513"/>
    <w:rsid w:val="00024828"/>
    <w:rsid w:val="00027069"/>
    <w:rsid w:val="0003024B"/>
    <w:rsid w:val="00036493"/>
    <w:rsid w:val="00036A98"/>
    <w:rsid w:val="00037650"/>
    <w:rsid w:val="00041C3D"/>
    <w:rsid w:val="00041EE8"/>
    <w:rsid w:val="00043489"/>
    <w:rsid w:val="000447D1"/>
    <w:rsid w:val="00044C49"/>
    <w:rsid w:val="000467DD"/>
    <w:rsid w:val="000468E2"/>
    <w:rsid w:val="00051A51"/>
    <w:rsid w:val="00053AAA"/>
    <w:rsid w:val="000543F0"/>
    <w:rsid w:val="0005676D"/>
    <w:rsid w:val="00057E9D"/>
    <w:rsid w:val="000601D5"/>
    <w:rsid w:val="0006579B"/>
    <w:rsid w:val="00066D98"/>
    <w:rsid w:val="00066DC1"/>
    <w:rsid w:val="00066FEE"/>
    <w:rsid w:val="0006786C"/>
    <w:rsid w:val="0008060E"/>
    <w:rsid w:val="000809D5"/>
    <w:rsid w:val="00082DAF"/>
    <w:rsid w:val="000851C2"/>
    <w:rsid w:val="00087EF9"/>
    <w:rsid w:val="0009154A"/>
    <w:rsid w:val="0009188E"/>
    <w:rsid w:val="000A0620"/>
    <w:rsid w:val="000A0A98"/>
    <w:rsid w:val="000A0BF9"/>
    <w:rsid w:val="000A64E6"/>
    <w:rsid w:val="000A6813"/>
    <w:rsid w:val="000A7AA6"/>
    <w:rsid w:val="000B669F"/>
    <w:rsid w:val="000B6840"/>
    <w:rsid w:val="000B6AE9"/>
    <w:rsid w:val="000C7347"/>
    <w:rsid w:val="000D149D"/>
    <w:rsid w:val="000D1AA5"/>
    <w:rsid w:val="000D3557"/>
    <w:rsid w:val="000D6560"/>
    <w:rsid w:val="000E304E"/>
    <w:rsid w:val="000E3373"/>
    <w:rsid w:val="000E4263"/>
    <w:rsid w:val="000E514E"/>
    <w:rsid w:val="000E51C7"/>
    <w:rsid w:val="000E7F14"/>
    <w:rsid w:val="000F050D"/>
    <w:rsid w:val="000F1FA0"/>
    <w:rsid w:val="000F4FC8"/>
    <w:rsid w:val="001016D9"/>
    <w:rsid w:val="00102070"/>
    <w:rsid w:val="0010299A"/>
    <w:rsid w:val="001043E1"/>
    <w:rsid w:val="001079F4"/>
    <w:rsid w:val="00111542"/>
    <w:rsid w:val="001126B3"/>
    <w:rsid w:val="00114E2B"/>
    <w:rsid w:val="00114F63"/>
    <w:rsid w:val="00114F85"/>
    <w:rsid w:val="00116201"/>
    <w:rsid w:val="00117EFE"/>
    <w:rsid w:val="00121A21"/>
    <w:rsid w:val="00121A2B"/>
    <w:rsid w:val="00122CEF"/>
    <w:rsid w:val="00123124"/>
    <w:rsid w:val="001238D1"/>
    <w:rsid w:val="00132F8E"/>
    <w:rsid w:val="00136D63"/>
    <w:rsid w:val="00136E0C"/>
    <w:rsid w:val="00140960"/>
    <w:rsid w:val="001410BE"/>
    <w:rsid w:val="0014267C"/>
    <w:rsid w:val="001503A6"/>
    <w:rsid w:val="00154A53"/>
    <w:rsid w:val="00155A6A"/>
    <w:rsid w:val="001566EA"/>
    <w:rsid w:val="001629FB"/>
    <w:rsid w:val="0016728D"/>
    <w:rsid w:val="00170423"/>
    <w:rsid w:val="00171C0F"/>
    <w:rsid w:val="001736BB"/>
    <w:rsid w:val="00185181"/>
    <w:rsid w:val="0018535E"/>
    <w:rsid w:val="00187D96"/>
    <w:rsid w:val="00191085"/>
    <w:rsid w:val="001934F8"/>
    <w:rsid w:val="00197088"/>
    <w:rsid w:val="0019744E"/>
    <w:rsid w:val="001A1E20"/>
    <w:rsid w:val="001A1FB8"/>
    <w:rsid w:val="001A3796"/>
    <w:rsid w:val="001A429E"/>
    <w:rsid w:val="001A46B2"/>
    <w:rsid w:val="001A4F31"/>
    <w:rsid w:val="001A5FA5"/>
    <w:rsid w:val="001B288E"/>
    <w:rsid w:val="001B467F"/>
    <w:rsid w:val="001B7E7E"/>
    <w:rsid w:val="001C17C2"/>
    <w:rsid w:val="001C42E6"/>
    <w:rsid w:val="001C7694"/>
    <w:rsid w:val="001C7F3F"/>
    <w:rsid w:val="001D2BFA"/>
    <w:rsid w:val="001D2CE5"/>
    <w:rsid w:val="001D610D"/>
    <w:rsid w:val="001D635C"/>
    <w:rsid w:val="001D6419"/>
    <w:rsid w:val="001D7926"/>
    <w:rsid w:val="001D7E0D"/>
    <w:rsid w:val="001E0150"/>
    <w:rsid w:val="001E1156"/>
    <w:rsid w:val="001E16B9"/>
    <w:rsid w:val="001F1F0E"/>
    <w:rsid w:val="001F2432"/>
    <w:rsid w:val="001F3219"/>
    <w:rsid w:val="001F3F6B"/>
    <w:rsid w:val="001F5620"/>
    <w:rsid w:val="001F5AE6"/>
    <w:rsid w:val="001F6D04"/>
    <w:rsid w:val="00201D7C"/>
    <w:rsid w:val="00202675"/>
    <w:rsid w:val="0020768A"/>
    <w:rsid w:val="00212047"/>
    <w:rsid w:val="00212B54"/>
    <w:rsid w:val="0021310D"/>
    <w:rsid w:val="00215866"/>
    <w:rsid w:val="00216FC0"/>
    <w:rsid w:val="00227794"/>
    <w:rsid w:val="00231BEF"/>
    <w:rsid w:val="002327CA"/>
    <w:rsid w:val="00235908"/>
    <w:rsid w:val="0023746B"/>
    <w:rsid w:val="002406B2"/>
    <w:rsid w:val="0024079D"/>
    <w:rsid w:val="00244B2E"/>
    <w:rsid w:val="00245206"/>
    <w:rsid w:val="002512B3"/>
    <w:rsid w:val="002533AA"/>
    <w:rsid w:val="002543D8"/>
    <w:rsid w:val="00260069"/>
    <w:rsid w:val="002605F8"/>
    <w:rsid w:val="002607FF"/>
    <w:rsid w:val="00261EB7"/>
    <w:rsid w:val="0026385E"/>
    <w:rsid w:val="00263EC3"/>
    <w:rsid w:val="00264ECD"/>
    <w:rsid w:val="002653AD"/>
    <w:rsid w:val="00265DFD"/>
    <w:rsid w:val="00266B8F"/>
    <w:rsid w:val="00275CB6"/>
    <w:rsid w:val="00275DCC"/>
    <w:rsid w:val="002821FF"/>
    <w:rsid w:val="0028342D"/>
    <w:rsid w:val="00283536"/>
    <w:rsid w:val="00285663"/>
    <w:rsid w:val="00285876"/>
    <w:rsid w:val="002866FF"/>
    <w:rsid w:val="00287883"/>
    <w:rsid w:val="002906B4"/>
    <w:rsid w:val="00291414"/>
    <w:rsid w:val="00291FD0"/>
    <w:rsid w:val="00292FBF"/>
    <w:rsid w:val="0029321A"/>
    <w:rsid w:val="002A2E8F"/>
    <w:rsid w:val="002A4456"/>
    <w:rsid w:val="002A57F7"/>
    <w:rsid w:val="002A5A2A"/>
    <w:rsid w:val="002A7998"/>
    <w:rsid w:val="002B2C77"/>
    <w:rsid w:val="002B3CD8"/>
    <w:rsid w:val="002B766A"/>
    <w:rsid w:val="002C0213"/>
    <w:rsid w:val="002C2CD5"/>
    <w:rsid w:val="002C6749"/>
    <w:rsid w:val="002C77C0"/>
    <w:rsid w:val="002D34EF"/>
    <w:rsid w:val="002D44D7"/>
    <w:rsid w:val="002D47D5"/>
    <w:rsid w:val="002D6958"/>
    <w:rsid w:val="002E127C"/>
    <w:rsid w:val="002E1844"/>
    <w:rsid w:val="002E2207"/>
    <w:rsid w:val="002E3BD4"/>
    <w:rsid w:val="002E6542"/>
    <w:rsid w:val="002E683E"/>
    <w:rsid w:val="002E7DC7"/>
    <w:rsid w:val="002F360D"/>
    <w:rsid w:val="002F3BD0"/>
    <w:rsid w:val="002F4359"/>
    <w:rsid w:val="002F5613"/>
    <w:rsid w:val="002F6C26"/>
    <w:rsid w:val="0030089E"/>
    <w:rsid w:val="00300C37"/>
    <w:rsid w:val="00301291"/>
    <w:rsid w:val="0030302A"/>
    <w:rsid w:val="00311670"/>
    <w:rsid w:val="0031409D"/>
    <w:rsid w:val="00314F1E"/>
    <w:rsid w:val="00314FC2"/>
    <w:rsid w:val="003156DD"/>
    <w:rsid w:val="00315EDE"/>
    <w:rsid w:val="00321A4D"/>
    <w:rsid w:val="00321BBA"/>
    <w:rsid w:val="00321C02"/>
    <w:rsid w:val="003223EC"/>
    <w:rsid w:val="003232ED"/>
    <w:rsid w:val="00324D9B"/>
    <w:rsid w:val="003251B0"/>
    <w:rsid w:val="003268E6"/>
    <w:rsid w:val="00330CF5"/>
    <w:rsid w:val="00332064"/>
    <w:rsid w:val="00332D01"/>
    <w:rsid w:val="003360FA"/>
    <w:rsid w:val="003364FB"/>
    <w:rsid w:val="003370B9"/>
    <w:rsid w:val="00337C9F"/>
    <w:rsid w:val="00340DB0"/>
    <w:rsid w:val="00341F62"/>
    <w:rsid w:val="00351DF1"/>
    <w:rsid w:val="00352AFD"/>
    <w:rsid w:val="003577CE"/>
    <w:rsid w:val="00357B12"/>
    <w:rsid w:val="00360707"/>
    <w:rsid w:val="003632E8"/>
    <w:rsid w:val="003668F7"/>
    <w:rsid w:val="003707E6"/>
    <w:rsid w:val="00371D6B"/>
    <w:rsid w:val="0037242C"/>
    <w:rsid w:val="0037397D"/>
    <w:rsid w:val="00373E95"/>
    <w:rsid w:val="003815B7"/>
    <w:rsid w:val="00382581"/>
    <w:rsid w:val="0038363A"/>
    <w:rsid w:val="003852DE"/>
    <w:rsid w:val="0038799F"/>
    <w:rsid w:val="00390546"/>
    <w:rsid w:val="0039520C"/>
    <w:rsid w:val="003B0EC4"/>
    <w:rsid w:val="003B390D"/>
    <w:rsid w:val="003B57F6"/>
    <w:rsid w:val="003C5314"/>
    <w:rsid w:val="003D0198"/>
    <w:rsid w:val="003D0768"/>
    <w:rsid w:val="003D2B65"/>
    <w:rsid w:val="003D2C5A"/>
    <w:rsid w:val="003D4ADA"/>
    <w:rsid w:val="003D6CD8"/>
    <w:rsid w:val="003E1D73"/>
    <w:rsid w:val="003E29BA"/>
    <w:rsid w:val="003E6C73"/>
    <w:rsid w:val="003E79A2"/>
    <w:rsid w:val="003F04D3"/>
    <w:rsid w:val="003F0701"/>
    <w:rsid w:val="003F34F8"/>
    <w:rsid w:val="003F77D5"/>
    <w:rsid w:val="00403315"/>
    <w:rsid w:val="00412609"/>
    <w:rsid w:val="00413944"/>
    <w:rsid w:val="00413B46"/>
    <w:rsid w:val="004153F5"/>
    <w:rsid w:val="00420F96"/>
    <w:rsid w:val="00426467"/>
    <w:rsid w:val="0042786E"/>
    <w:rsid w:val="004332C6"/>
    <w:rsid w:val="004342E1"/>
    <w:rsid w:val="0043466F"/>
    <w:rsid w:val="00443960"/>
    <w:rsid w:val="00443EBD"/>
    <w:rsid w:val="00447424"/>
    <w:rsid w:val="00447E0B"/>
    <w:rsid w:val="00452808"/>
    <w:rsid w:val="0045382B"/>
    <w:rsid w:val="00454B0B"/>
    <w:rsid w:val="00456EE1"/>
    <w:rsid w:val="004578BD"/>
    <w:rsid w:val="00462001"/>
    <w:rsid w:val="004620F8"/>
    <w:rsid w:val="00470512"/>
    <w:rsid w:val="00470965"/>
    <w:rsid w:val="00474C49"/>
    <w:rsid w:val="00475726"/>
    <w:rsid w:val="00483322"/>
    <w:rsid w:val="00490F6F"/>
    <w:rsid w:val="004910F2"/>
    <w:rsid w:val="0049205E"/>
    <w:rsid w:val="0049326A"/>
    <w:rsid w:val="004933B4"/>
    <w:rsid w:val="0049621F"/>
    <w:rsid w:val="004A0B9D"/>
    <w:rsid w:val="004A2323"/>
    <w:rsid w:val="004A2AB4"/>
    <w:rsid w:val="004A36D8"/>
    <w:rsid w:val="004A4458"/>
    <w:rsid w:val="004A5233"/>
    <w:rsid w:val="004A5252"/>
    <w:rsid w:val="004A5971"/>
    <w:rsid w:val="004A5C6C"/>
    <w:rsid w:val="004A7D7C"/>
    <w:rsid w:val="004B34EA"/>
    <w:rsid w:val="004B4DCB"/>
    <w:rsid w:val="004B7CD3"/>
    <w:rsid w:val="004C05B2"/>
    <w:rsid w:val="004C1E30"/>
    <w:rsid w:val="004C3988"/>
    <w:rsid w:val="004C5B3D"/>
    <w:rsid w:val="004C76CE"/>
    <w:rsid w:val="004C7DEA"/>
    <w:rsid w:val="004D2D94"/>
    <w:rsid w:val="004D33D5"/>
    <w:rsid w:val="004D3E63"/>
    <w:rsid w:val="004D4189"/>
    <w:rsid w:val="004D4B86"/>
    <w:rsid w:val="004D501F"/>
    <w:rsid w:val="004E0827"/>
    <w:rsid w:val="004E1521"/>
    <w:rsid w:val="004E1784"/>
    <w:rsid w:val="004E192B"/>
    <w:rsid w:val="004E3FFA"/>
    <w:rsid w:val="004E577A"/>
    <w:rsid w:val="004F12EC"/>
    <w:rsid w:val="004F4BA4"/>
    <w:rsid w:val="004F678A"/>
    <w:rsid w:val="004F69D4"/>
    <w:rsid w:val="0050495F"/>
    <w:rsid w:val="00504AB5"/>
    <w:rsid w:val="00506E4D"/>
    <w:rsid w:val="00510EEE"/>
    <w:rsid w:val="00512CAE"/>
    <w:rsid w:val="00513F6B"/>
    <w:rsid w:val="00517221"/>
    <w:rsid w:val="005179FF"/>
    <w:rsid w:val="00523B9E"/>
    <w:rsid w:val="00532579"/>
    <w:rsid w:val="00533F1D"/>
    <w:rsid w:val="00534A6C"/>
    <w:rsid w:val="0053504D"/>
    <w:rsid w:val="00536D97"/>
    <w:rsid w:val="00536F41"/>
    <w:rsid w:val="00536FFC"/>
    <w:rsid w:val="005375EA"/>
    <w:rsid w:val="00537839"/>
    <w:rsid w:val="00545954"/>
    <w:rsid w:val="0054796F"/>
    <w:rsid w:val="00555116"/>
    <w:rsid w:val="00557497"/>
    <w:rsid w:val="00562A6A"/>
    <w:rsid w:val="00563F10"/>
    <w:rsid w:val="0056425A"/>
    <w:rsid w:val="00565053"/>
    <w:rsid w:val="0056529D"/>
    <w:rsid w:val="00565891"/>
    <w:rsid w:val="00567ED8"/>
    <w:rsid w:val="005723E5"/>
    <w:rsid w:val="00577458"/>
    <w:rsid w:val="00582FAB"/>
    <w:rsid w:val="00583EB8"/>
    <w:rsid w:val="0058414C"/>
    <w:rsid w:val="0058711A"/>
    <w:rsid w:val="0059337E"/>
    <w:rsid w:val="005943F5"/>
    <w:rsid w:val="00595D03"/>
    <w:rsid w:val="005A15D0"/>
    <w:rsid w:val="005A2644"/>
    <w:rsid w:val="005A42AB"/>
    <w:rsid w:val="005A65F3"/>
    <w:rsid w:val="005A6E78"/>
    <w:rsid w:val="005B10E2"/>
    <w:rsid w:val="005B11A7"/>
    <w:rsid w:val="005B16EB"/>
    <w:rsid w:val="005B1BB2"/>
    <w:rsid w:val="005B2624"/>
    <w:rsid w:val="005B3D71"/>
    <w:rsid w:val="005B3D88"/>
    <w:rsid w:val="005B5EDB"/>
    <w:rsid w:val="005C1A0D"/>
    <w:rsid w:val="005C6CB4"/>
    <w:rsid w:val="005D0F77"/>
    <w:rsid w:val="005D2783"/>
    <w:rsid w:val="005D338F"/>
    <w:rsid w:val="005D3818"/>
    <w:rsid w:val="005D4A88"/>
    <w:rsid w:val="005D5E5B"/>
    <w:rsid w:val="005D651D"/>
    <w:rsid w:val="005E0DE2"/>
    <w:rsid w:val="005E150A"/>
    <w:rsid w:val="005E346F"/>
    <w:rsid w:val="005F53CC"/>
    <w:rsid w:val="00600AEF"/>
    <w:rsid w:val="00604EFF"/>
    <w:rsid w:val="0060641C"/>
    <w:rsid w:val="00606D3A"/>
    <w:rsid w:val="00611275"/>
    <w:rsid w:val="00613531"/>
    <w:rsid w:val="00616674"/>
    <w:rsid w:val="00616996"/>
    <w:rsid w:val="00620583"/>
    <w:rsid w:val="00623ABB"/>
    <w:rsid w:val="006275C6"/>
    <w:rsid w:val="006335CC"/>
    <w:rsid w:val="00636047"/>
    <w:rsid w:val="00636381"/>
    <w:rsid w:val="00636521"/>
    <w:rsid w:val="0064212E"/>
    <w:rsid w:val="006421B4"/>
    <w:rsid w:val="00642A6F"/>
    <w:rsid w:val="00642B9E"/>
    <w:rsid w:val="006446E3"/>
    <w:rsid w:val="006459D8"/>
    <w:rsid w:val="00647C20"/>
    <w:rsid w:val="00652ECD"/>
    <w:rsid w:val="0065352B"/>
    <w:rsid w:val="00654003"/>
    <w:rsid w:val="0065467C"/>
    <w:rsid w:val="006559AA"/>
    <w:rsid w:val="00656AF6"/>
    <w:rsid w:val="00657288"/>
    <w:rsid w:val="00657F73"/>
    <w:rsid w:val="00660849"/>
    <w:rsid w:val="00664236"/>
    <w:rsid w:val="006649B0"/>
    <w:rsid w:val="00665D50"/>
    <w:rsid w:val="0066752B"/>
    <w:rsid w:val="00670B2B"/>
    <w:rsid w:val="00673B8F"/>
    <w:rsid w:val="0067538C"/>
    <w:rsid w:val="00677CB4"/>
    <w:rsid w:val="006819CD"/>
    <w:rsid w:val="00683360"/>
    <w:rsid w:val="006838D8"/>
    <w:rsid w:val="00685388"/>
    <w:rsid w:val="006873D0"/>
    <w:rsid w:val="0068765A"/>
    <w:rsid w:val="0069087A"/>
    <w:rsid w:val="00693229"/>
    <w:rsid w:val="00695F35"/>
    <w:rsid w:val="0069716D"/>
    <w:rsid w:val="006A4467"/>
    <w:rsid w:val="006A6352"/>
    <w:rsid w:val="006A6E94"/>
    <w:rsid w:val="006A6F26"/>
    <w:rsid w:val="006A705E"/>
    <w:rsid w:val="006B0403"/>
    <w:rsid w:val="006B169A"/>
    <w:rsid w:val="006B27AF"/>
    <w:rsid w:val="006B342C"/>
    <w:rsid w:val="006B5460"/>
    <w:rsid w:val="006B580C"/>
    <w:rsid w:val="006B63EF"/>
    <w:rsid w:val="006C0886"/>
    <w:rsid w:val="006C1043"/>
    <w:rsid w:val="006C5208"/>
    <w:rsid w:val="006C5294"/>
    <w:rsid w:val="006C54D8"/>
    <w:rsid w:val="006C7239"/>
    <w:rsid w:val="006C72F2"/>
    <w:rsid w:val="006D07F4"/>
    <w:rsid w:val="006D088B"/>
    <w:rsid w:val="006E0D01"/>
    <w:rsid w:val="006E182F"/>
    <w:rsid w:val="006E1DB6"/>
    <w:rsid w:val="006E2E96"/>
    <w:rsid w:val="006E3897"/>
    <w:rsid w:val="006E3DCA"/>
    <w:rsid w:val="006E3F6E"/>
    <w:rsid w:val="006E4FCE"/>
    <w:rsid w:val="006E63CB"/>
    <w:rsid w:val="006E6F6B"/>
    <w:rsid w:val="006F0208"/>
    <w:rsid w:val="006F0FF5"/>
    <w:rsid w:val="006F385E"/>
    <w:rsid w:val="006F6193"/>
    <w:rsid w:val="007072E0"/>
    <w:rsid w:val="007109E9"/>
    <w:rsid w:val="007160AF"/>
    <w:rsid w:val="0071639B"/>
    <w:rsid w:val="00717486"/>
    <w:rsid w:val="0072642D"/>
    <w:rsid w:val="00733987"/>
    <w:rsid w:val="00734D52"/>
    <w:rsid w:val="0074044F"/>
    <w:rsid w:val="00740846"/>
    <w:rsid w:val="00741C1D"/>
    <w:rsid w:val="00743991"/>
    <w:rsid w:val="007503A6"/>
    <w:rsid w:val="00750E32"/>
    <w:rsid w:val="00755D7B"/>
    <w:rsid w:val="0075628F"/>
    <w:rsid w:val="007563BD"/>
    <w:rsid w:val="00760250"/>
    <w:rsid w:val="0076280F"/>
    <w:rsid w:val="00762D8B"/>
    <w:rsid w:val="00770E93"/>
    <w:rsid w:val="007731DE"/>
    <w:rsid w:val="00774159"/>
    <w:rsid w:val="0077457B"/>
    <w:rsid w:val="00775C9A"/>
    <w:rsid w:val="00776DE4"/>
    <w:rsid w:val="00777291"/>
    <w:rsid w:val="00782689"/>
    <w:rsid w:val="00784E31"/>
    <w:rsid w:val="00786888"/>
    <w:rsid w:val="00786E1A"/>
    <w:rsid w:val="007916A4"/>
    <w:rsid w:val="0079332F"/>
    <w:rsid w:val="007933C2"/>
    <w:rsid w:val="007A3A17"/>
    <w:rsid w:val="007A4C50"/>
    <w:rsid w:val="007A71AC"/>
    <w:rsid w:val="007B0C8C"/>
    <w:rsid w:val="007B0FE2"/>
    <w:rsid w:val="007B1286"/>
    <w:rsid w:val="007B14FA"/>
    <w:rsid w:val="007B1F5D"/>
    <w:rsid w:val="007B2A43"/>
    <w:rsid w:val="007B2B9D"/>
    <w:rsid w:val="007B5D83"/>
    <w:rsid w:val="007B63E9"/>
    <w:rsid w:val="007B67C3"/>
    <w:rsid w:val="007B7DA7"/>
    <w:rsid w:val="007B7EB8"/>
    <w:rsid w:val="007C150C"/>
    <w:rsid w:val="007C1778"/>
    <w:rsid w:val="007C1C68"/>
    <w:rsid w:val="007C3319"/>
    <w:rsid w:val="007D1E78"/>
    <w:rsid w:val="007D2389"/>
    <w:rsid w:val="007D3B92"/>
    <w:rsid w:val="007E2169"/>
    <w:rsid w:val="007E23DD"/>
    <w:rsid w:val="007E27AC"/>
    <w:rsid w:val="007F4BE1"/>
    <w:rsid w:val="007F4D51"/>
    <w:rsid w:val="007F50D7"/>
    <w:rsid w:val="007F7544"/>
    <w:rsid w:val="008010B4"/>
    <w:rsid w:val="00801176"/>
    <w:rsid w:val="0081622E"/>
    <w:rsid w:val="0082320C"/>
    <w:rsid w:val="00823370"/>
    <w:rsid w:val="00826255"/>
    <w:rsid w:val="0082650A"/>
    <w:rsid w:val="008278FD"/>
    <w:rsid w:val="00830853"/>
    <w:rsid w:val="00834D24"/>
    <w:rsid w:val="00842367"/>
    <w:rsid w:val="008451DC"/>
    <w:rsid w:val="008459AF"/>
    <w:rsid w:val="00846648"/>
    <w:rsid w:val="00850805"/>
    <w:rsid w:val="00853C91"/>
    <w:rsid w:val="0085458F"/>
    <w:rsid w:val="00854882"/>
    <w:rsid w:val="008548E2"/>
    <w:rsid w:val="00855182"/>
    <w:rsid w:val="00855C3C"/>
    <w:rsid w:val="008562B9"/>
    <w:rsid w:val="008602C8"/>
    <w:rsid w:val="008606B4"/>
    <w:rsid w:val="00860AAC"/>
    <w:rsid w:val="00863C28"/>
    <w:rsid w:val="00863EB9"/>
    <w:rsid w:val="00867326"/>
    <w:rsid w:val="00871830"/>
    <w:rsid w:val="00873934"/>
    <w:rsid w:val="00875BA3"/>
    <w:rsid w:val="008769E0"/>
    <w:rsid w:val="00877771"/>
    <w:rsid w:val="00880228"/>
    <w:rsid w:val="00882909"/>
    <w:rsid w:val="00882CC4"/>
    <w:rsid w:val="0088514E"/>
    <w:rsid w:val="00886FAA"/>
    <w:rsid w:val="00887B85"/>
    <w:rsid w:val="00891D20"/>
    <w:rsid w:val="00891D3C"/>
    <w:rsid w:val="00892102"/>
    <w:rsid w:val="008925D2"/>
    <w:rsid w:val="0089414A"/>
    <w:rsid w:val="008957CF"/>
    <w:rsid w:val="00896451"/>
    <w:rsid w:val="008964F9"/>
    <w:rsid w:val="008A161E"/>
    <w:rsid w:val="008A1E6C"/>
    <w:rsid w:val="008A2D4F"/>
    <w:rsid w:val="008A3276"/>
    <w:rsid w:val="008A3482"/>
    <w:rsid w:val="008A35FC"/>
    <w:rsid w:val="008A6059"/>
    <w:rsid w:val="008B0D50"/>
    <w:rsid w:val="008B1595"/>
    <w:rsid w:val="008B2B0B"/>
    <w:rsid w:val="008B5AFC"/>
    <w:rsid w:val="008C0022"/>
    <w:rsid w:val="008C1500"/>
    <w:rsid w:val="008C4CDE"/>
    <w:rsid w:val="008C5780"/>
    <w:rsid w:val="008C57D9"/>
    <w:rsid w:val="008C5AF4"/>
    <w:rsid w:val="008D39E2"/>
    <w:rsid w:val="008D5D95"/>
    <w:rsid w:val="008D6A5C"/>
    <w:rsid w:val="008E3565"/>
    <w:rsid w:val="008E3934"/>
    <w:rsid w:val="008E4903"/>
    <w:rsid w:val="008E5DE3"/>
    <w:rsid w:val="008E6DD7"/>
    <w:rsid w:val="008F04E0"/>
    <w:rsid w:val="008F3797"/>
    <w:rsid w:val="008F62FD"/>
    <w:rsid w:val="009002B7"/>
    <w:rsid w:val="00905228"/>
    <w:rsid w:val="0090786D"/>
    <w:rsid w:val="00912AF3"/>
    <w:rsid w:val="00914ABB"/>
    <w:rsid w:val="00917041"/>
    <w:rsid w:val="009202A1"/>
    <w:rsid w:val="00920A61"/>
    <w:rsid w:val="009307CC"/>
    <w:rsid w:val="00931C45"/>
    <w:rsid w:val="00936BE7"/>
    <w:rsid w:val="00937ADC"/>
    <w:rsid w:val="00946DC9"/>
    <w:rsid w:val="00953A17"/>
    <w:rsid w:val="00957AD6"/>
    <w:rsid w:val="00963A50"/>
    <w:rsid w:val="00963DAA"/>
    <w:rsid w:val="00963E08"/>
    <w:rsid w:val="0096481C"/>
    <w:rsid w:val="0097060A"/>
    <w:rsid w:val="00970BA9"/>
    <w:rsid w:val="00971600"/>
    <w:rsid w:val="0097370C"/>
    <w:rsid w:val="00976E66"/>
    <w:rsid w:val="009818D5"/>
    <w:rsid w:val="00983EA6"/>
    <w:rsid w:val="00985096"/>
    <w:rsid w:val="009851B9"/>
    <w:rsid w:val="00985B37"/>
    <w:rsid w:val="00986219"/>
    <w:rsid w:val="0098741B"/>
    <w:rsid w:val="00987814"/>
    <w:rsid w:val="009A1FC2"/>
    <w:rsid w:val="009B0343"/>
    <w:rsid w:val="009B0427"/>
    <w:rsid w:val="009B06DB"/>
    <w:rsid w:val="009B0BB9"/>
    <w:rsid w:val="009B45AD"/>
    <w:rsid w:val="009B5269"/>
    <w:rsid w:val="009C241D"/>
    <w:rsid w:val="009C4D77"/>
    <w:rsid w:val="009D6149"/>
    <w:rsid w:val="009D7ACE"/>
    <w:rsid w:val="009E0743"/>
    <w:rsid w:val="009E1729"/>
    <w:rsid w:val="009E329F"/>
    <w:rsid w:val="009E3B6B"/>
    <w:rsid w:val="009E4DBF"/>
    <w:rsid w:val="009E68C1"/>
    <w:rsid w:val="009E7576"/>
    <w:rsid w:val="009E793C"/>
    <w:rsid w:val="009F0334"/>
    <w:rsid w:val="009F40EF"/>
    <w:rsid w:val="009F548D"/>
    <w:rsid w:val="009F77A7"/>
    <w:rsid w:val="00A00648"/>
    <w:rsid w:val="00A020B2"/>
    <w:rsid w:val="00A03589"/>
    <w:rsid w:val="00A04FE2"/>
    <w:rsid w:val="00A06DAB"/>
    <w:rsid w:val="00A0786A"/>
    <w:rsid w:val="00A11A1B"/>
    <w:rsid w:val="00A132B4"/>
    <w:rsid w:val="00A13F31"/>
    <w:rsid w:val="00A15E10"/>
    <w:rsid w:val="00A2090F"/>
    <w:rsid w:val="00A222E0"/>
    <w:rsid w:val="00A27F2F"/>
    <w:rsid w:val="00A322C1"/>
    <w:rsid w:val="00A3490E"/>
    <w:rsid w:val="00A36881"/>
    <w:rsid w:val="00A37C91"/>
    <w:rsid w:val="00A40D1D"/>
    <w:rsid w:val="00A447F1"/>
    <w:rsid w:val="00A46D19"/>
    <w:rsid w:val="00A507FC"/>
    <w:rsid w:val="00A51941"/>
    <w:rsid w:val="00A521C4"/>
    <w:rsid w:val="00A54544"/>
    <w:rsid w:val="00A61CC9"/>
    <w:rsid w:val="00A62C23"/>
    <w:rsid w:val="00A63DDA"/>
    <w:rsid w:val="00A665F2"/>
    <w:rsid w:val="00A71FDE"/>
    <w:rsid w:val="00A72948"/>
    <w:rsid w:val="00A72B48"/>
    <w:rsid w:val="00A77FB5"/>
    <w:rsid w:val="00A800D9"/>
    <w:rsid w:val="00A82325"/>
    <w:rsid w:val="00A82613"/>
    <w:rsid w:val="00A82A5D"/>
    <w:rsid w:val="00A83DC2"/>
    <w:rsid w:val="00A85078"/>
    <w:rsid w:val="00A85B6A"/>
    <w:rsid w:val="00A86A12"/>
    <w:rsid w:val="00A946EC"/>
    <w:rsid w:val="00A95FE0"/>
    <w:rsid w:val="00AA04DC"/>
    <w:rsid w:val="00AA0FFF"/>
    <w:rsid w:val="00AA1580"/>
    <w:rsid w:val="00AA2916"/>
    <w:rsid w:val="00AA63D0"/>
    <w:rsid w:val="00AB40F9"/>
    <w:rsid w:val="00AB6098"/>
    <w:rsid w:val="00AB7580"/>
    <w:rsid w:val="00AC14AC"/>
    <w:rsid w:val="00AC23D9"/>
    <w:rsid w:val="00AC3F3B"/>
    <w:rsid w:val="00AD0EA8"/>
    <w:rsid w:val="00AD3B63"/>
    <w:rsid w:val="00AD3C2D"/>
    <w:rsid w:val="00AD6BA1"/>
    <w:rsid w:val="00AE047C"/>
    <w:rsid w:val="00AE1A04"/>
    <w:rsid w:val="00AE1CE8"/>
    <w:rsid w:val="00AE2AB1"/>
    <w:rsid w:val="00AE6CD2"/>
    <w:rsid w:val="00AF22A2"/>
    <w:rsid w:val="00AF434D"/>
    <w:rsid w:val="00AF7B1E"/>
    <w:rsid w:val="00B022A7"/>
    <w:rsid w:val="00B033D3"/>
    <w:rsid w:val="00B06AB2"/>
    <w:rsid w:val="00B07318"/>
    <w:rsid w:val="00B10E6E"/>
    <w:rsid w:val="00B11F0E"/>
    <w:rsid w:val="00B12474"/>
    <w:rsid w:val="00B12E2A"/>
    <w:rsid w:val="00B1699F"/>
    <w:rsid w:val="00B20FE0"/>
    <w:rsid w:val="00B21953"/>
    <w:rsid w:val="00B23172"/>
    <w:rsid w:val="00B261D5"/>
    <w:rsid w:val="00B26A17"/>
    <w:rsid w:val="00B277DC"/>
    <w:rsid w:val="00B318A5"/>
    <w:rsid w:val="00B334C9"/>
    <w:rsid w:val="00B33B1C"/>
    <w:rsid w:val="00B35B1D"/>
    <w:rsid w:val="00B36C54"/>
    <w:rsid w:val="00B420F2"/>
    <w:rsid w:val="00B422C6"/>
    <w:rsid w:val="00B43DD1"/>
    <w:rsid w:val="00B4412F"/>
    <w:rsid w:val="00B44801"/>
    <w:rsid w:val="00B54783"/>
    <w:rsid w:val="00B556C9"/>
    <w:rsid w:val="00B56AC2"/>
    <w:rsid w:val="00B62EEE"/>
    <w:rsid w:val="00B64EE4"/>
    <w:rsid w:val="00B7158F"/>
    <w:rsid w:val="00B71675"/>
    <w:rsid w:val="00B7218B"/>
    <w:rsid w:val="00B74CD6"/>
    <w:rsid w:val="00B74E9C"/>
    <w:rsid w:val="00B76D39"/>
    <w:rsid w:val="00B77ACA"/>
    <w:rsid w:val="00B803A6"/>
    <w:rsid w:val="00B8116F"/>
    <w:rsid w:val="00B81D7F"/>
    <w:rsid w:val="00B81E59"/>
    <w:rsid w:val="00B82B2C"/>
    <w:rsid w:val="00B941B2"/>
    <w:rsid w:val="00B96196"/>
    <w:rsid w:val="00B96302"/>
    <w:rsid w:val="00B9749B"/>
    <w:rsid w:val="00BA02D6"/>
    <w:rsid w:val="00BA0360"/>
    <w:rsid w:val="00BA2A2C"/>
    <w:rsid w:val="00BA4993"/>
    <w:rsid w:val="00BA63D0"/>
    <w:rsid w:val="00BB288D"/>
    <w:rsid w:val="00BB6CB6"/>
    <w:rsid w:val="00BC4EE2"/>
    <w:rsid w:val="00BD0907"/>
    <w:rsid w:val="00BD48AF"/>
    <w:rsid w:val="00BE144A"/>
    <w:rsid w:val="00BE19B4"/>
    <w:rsid w:val="00BF04E2"/>
    <w:rsid w:val="00BF3479"/>
    <w:rsid w:val="00BF47EE"/>
    <w:rsid w:val="00BF4823"/>
    <w:rsid w:val="00BF4A7D"/>
    <w:rsid w:val="00BF4FFD"/>
    <w:rsid w:val="00BF6467"/>
    <w:rsid w:val="00C01870"/>
    <w:rsid w:val="00C06EFA"/>
    <w:rsid w:val="00C11322"/>
    <w:rsid w:val="00C2151F"/>
    <w:rsid w:val="00C225DF"/>
    <w:rsid w:val="00C22DE7"/>
    <w:rsid w:val="00C22E55"/>
    <w:rsid w:val="00C23410"/>
    <w:rsid w:val="00C24BBC"/>
    <w:rsid w:val="00C2512D"/>
    <w:rsid w:val="00C31030"/>
    <w:rsid w:val="00C34FAF"/>
    <w:rsid w:val="00C356B4"/>
    <w:rsid w:val="00C35847"/>
    <w:rsid w:val="00C361A5"/>
    <w:rsid w:val="00C43CE2"/>
    <w:rsid w:val="00C44F96"/>
    <w:rsid w:val="00C45D06"/>
    <w:rsid w:val="00C465FB"/>
    <w:rsid w:val="00C51922"/>
    <w:rsid w:val="00C523C0"/>
    <w:rsid w:val="00C52991"/>
    <w:rsid w:val="00C55220"/>
    <w:rsid w:val="00C62614"/>
    <w:rsid w:val="00C62750"/>
    <w:rsid w:val="00C67BA3"/>
    <w:rsid w:val="00C701D3"/>
    <w:rsid w:val="00C707AC"/>
    <w:rsid w:val="00C71DE2"/>
    <w:rsid w:val="00C803AC"/>
    <w:rsid w:val="00C8144D"/>
    <w:rsid w:val="00C821AD"/>
    <w:rsid w:val="00C8360D"/>
    <w:rsid w:val="00C838A0"/>
    <w:rsid w:val="00C86251"/>
    <w:rsid w:val="00C87A72"/>
    <w:rsid w:val="00C92715"/>
    <w:rsid w:val="00C9387A"/>
    <w:rsid w:val="00C940C9"/>
    <w:rsid w:val="00C95673"/>
    <w:rsid w:val="00C977D4"/>
    <w:rsid w:val="00CA0E8E"/>
    <w:rsid w:val="00CA3C41"/>
    <w:rsid w:val="00CA4462"/>
    <w:rsid w:val="00CA4CC6"/>
    <w:rsid w:val="00CA6227"/>
    <w:rsid w:val="00CB1CD0"/>
    <w:rsid w:val="00CB4A86"/>
    <w:rsid w:val="00CB632A"/>
    <w:rsid w:val="00CB729A"/>
    <w:rsid w:val="00CB76AE"/>
    <w:rsid w:val="00CC027D"/>
    <w:rsid w:val="00CC0411"/>
    <w:rsid w:val="00CC1ADE"/>
    <w:rsid w:val="00CC3B7F"/>
    <w:rsid w:val="00CD1026"/>
    <w:rsid w:val="00CD1E04"/>
    <w:rsid w:val="00CD75A5"/>
    <w:rsid w:val="00CE1BE9"/>
    <w:rsid w:val="00CE227E"/>
    <w:rsid w:val="00CE2AD7"/>
    <w:rsid w:val="00CE31BA"/>
    <w:rsid w:val="00CE3AC8"/>
    <w:rsid w:val="00CE5218"/>
    <w:rsid w:val="00CF08A1"/>
    <w:rsid w:val="00CF11A7"/>
    <w:rsid w:val="00CF1A35"/>
    <w:rsid w:val="00CF24EE"/>
    <w:rsid w:val="00CF2E4A"/>
    <w:rsid w:val="00CF3323"/>
    <w:rsid w:val="00CF7194"/>
    <w:rsid w:val="00D00385"/>
    <w:rsid w:val="00D01E0D"/>
    <w:rsid w:val="00D03396"/>
    <w:rsid w:val="00D03924"/>
    <w:rsid w:val="00D04A49"/>
    <w:rsid w:val="00D05154"/>
    <w:rsid w:val="00D121FC"/>
    <w:rsid w:val="00D14212"/>
    <w:rsid w:val="00D155C0"/>
    <w:rsid w:val="00D21320"/>
    <w:rsid w:val="00D22C18"/>
    <w:rsid w:val="00D23D0E"/>
    <w:rsid w:val="00D250A9"/>
    <w:rsid w:val="00D251AE"/>
    <w:rsid w:val="00D334B8"/>
    <w:rsid w:val="00D35187"/>
    <w:rsid w:val="00D35586"/>
    <w:rsid w:val="00D41B46"/>
    <w:rsid w:val="00D430E9"/>
    <w:rsid w:val="00D43C27"/>
    <w:rsid w:val="00D45C11"/>
    <w:rsid w:val="00D46861"/>
    <w:rsid w:val="00D57537"/>
    <w:rsid w:val="00D61026"/>
    <w:rsid w:val="00D64BE1"/>
    <w:rsid w:val="00D66BA6"/>
    <w:rsid w:val="00D7197F"/>
    <w:rsid w:val="00D71B60"/>
    <w:rsid w:val="00D72184"/>
    <w:rsid w:val="00D72814"/>
    <w:rsid w:val="00D76868"/>
    <w:rsid w:val="00D7703D"/>
    <w:rsid w:val="00D84291"/>
    <w:rsid w:val="00D85B09"/>
    <w:rsid w:val="00D906C2"/>
    <w:rsid w:val="00D911EA"/>
    <w:rsid w:val="00D935F8"/>
    <w:rsid w:val="00D93BC8"/>
    <w:rsid w:val="00D94EB6"/>
    <w:rsid w:val="00D96D66"/>
    <w:rsid w:val="00D97616"/>
    <w:rsid w:val="00DA0D16"/>
    <w:rsid w:val="00DA0FDF"/>
    <w:rsid w:val="00DA2303"/>
    <w:rsid w:val="00DB05AF"/>
    <w:rsid w:val="00DB0DDA"/>
    <w:rsid w:val="00DB1226"/>
    <w:rsid w:val="00DB14AA"/>
    <w:rsid w:val="00DB16AA"/>
    <w:rsid w:val="00DB178E"/>
    <w:rsid w:val="00DB3BDF"/>
    <w:rsid w:val="00DB4DDD"/>
    <w:rsid w:val="00DB5C80"/>
    <w:rsid w:val="00DB610C"/>
    <w:rsid w:val="00DC25DD"/>
    <w:rsid w:val="00DC2A2D"/>
    <w:rsid w:val="00DC3DB5"/>
    <w:rsid w:val="00DC5E65"/>
    <w:rsid w:val="00DD21C3"/>
    <w:rsid w:val="00DD2B5B"/>
    <w:rsid w:val="00DD553F"/>
    <w:rsid w:val="00DD7CA6"/>
    <w:rsid w:val="00DE053E"/>
    <w:rsid w:val="00DE2F89"/>
    <w:rsid w:val="00DE46AB"/>
    <w:rsid w:val="00DE7B76"/>
    <w:rsid w:val="00DE7E50"/>
    <w:rsid w:val="00DF53A7"/>
    <w:rsid w:val="00DF705A"/>
    <w:rsid w:val="00DF7463"/>
    <w:rsid w:val="00DF7682"/>
    <w:rsid w:val="00E00CDA"/>
    <w:rsid w:val="00E026C7"/>
    <w:rsid w:val="00E0388E"/>
    <w:rsid w:val="00E03A7A"/>
    <w:rsid w:val="00E04C96"/>
    <w:rsid w:val="00E050A8"/>
    <w:rsid w:val="00E06F78"/>
    <w:rsid w:val="00E1091A"/>
    <w:rsid w:val="00E11255"/>
    <w:rsid w:val="00E12143"/>
    <w:rsid w:val="00E13D91"/>
    <w:rsid w:val="00E14157"/>
    <w:rsid w:val="00E17C82"/>
    <w:rsid w:val="00E17F9A"/>
    <w:rsid w:val="00E22F89"/>
    <w:rsid w:val="00E268BB"/>
    <w:rsid w:val="00E279E0"/>
    <w:rsid w:val="00E34839"/>
    <w:rsid w:val="00E348A4"/>
    <w:rsid w:val="00E370A9"/>
    <w:rsid w:val="00E402C7"/>
    <w:rsid w:val="00E4090E"/>
    <w:rsid w:val="00E40C17"/>
    <w:rsid w:val="00E424CF"/>
    <w:rsid w:val="00E46AA3"/>
    <w:rsid w:val="00E50012"/>
    <w:rsid w:val="00E507E8"/>
    <w:rsid w:val="00E5385A"/>
    <w:rsid w:val="00E572FD"/>
    <w:rsid w:val="00E6040E"/>
    <w:rsid w:val="00E60CD9"/>
    <w:rsid w:val="00E61009"/>
    <w:rsid w:val="00E646B3"/>
    <w:rsid w:val="00E6794E"/>
    <w:rsid w:val="00E70342"/>
    <w:rsid w:val="00E72379"/>
    <w:rsid w:val="00E73384"/>
    <w:rsid w:val="00E73578"/>
    <w:rsid w:val="00E759AB"/>
    <w:rsid w:val="00E84326"/>
    <w:rsid w:val="00E843C4"/>
    <w:rsid w:val="00E861AA"/>
    <w:rsid w:val="00E86FD2"/>
    <w:rsid w:val="00E91347"/>
    <w:rsid w:val="00EB0131"/>
    <w:rsid w:val="00EB2A24"/>
    <w:rsid w:val="00EB3E8F"/>
    <w:rsid w:val="00EB467B"/>
    <w:rsid w:val="00EC2D1A"/>
    <w:rsid w:val="00EC3340"/>
    <w:rsid w:val="00EC6932"/>
    <w:rsid w:val="00EC6D47"/>
    <w:rsid w:val="00ED7179"/>
    <w:rsid w:val="00ED756B"/>
    <w:rsid w:val="00EE0BB1"/>
    <w:rsid w:val="00EE0F57"/>
    <w:rsid w:val="00EE517D"/>
    <w:rsid w:val="00EE609A"/>
    <w:rsid w:val="00EF0EB4"/>
    <w:rsid w:val="00EF1128"/>
    <w:rsid w:val="00EF1161"/>
    <w:rsid w:val="00EF1956"/>
    <w:rsid w:val="00EF2999"/>
    <w:rsid w:val="00F003C8"/>
    <w:rsid w:val="00F0248E"/>
    <w:rsid w:val="00F04642"/>
    <w:rsid w:val="00F048AB"/>
    <w:rsid w:val="00F05619"/>
    <w:rsid w:val="00F07A85"/>
    <w:rsid w:val="00F106B6"/>
    <w:rsid w:val="00F10CEB"/>
    <w:rsid w:val="00F111BA"/>
    <w:rsid w:val="00F11BD1"/>
    <w:rsid w:val="00F13514"/>
    <w:rsid w:val="00F1463D"/>
    <w:rsid w:val="00F1601B"/>
    <w:rsid w:val="00F233AB"/>
    <w:rsid w:val="00F24397"/>
    <w:rsid w:val="00F255A0"/>
    <w:rsid w:val="00F320D9"/>
    <w:rsid w:val="00F33119"/>
    <w:rsid w:val="00F34A54"/>
    <w:rsid w:val="00F34D32"/>
    <w:rsid w:val="00F42B84"/>
    <w:rsid w:val="00F42D91"/>
    <w:rsid w:val="00F43FB4"/>
    <w:rsid w:val="00F463C3"/>
    <w:rsid w:val="00F47BF5"/>
    <w:rsid w:val="00F50292"/>
    <w:rsid w:val="00F5061F"/>
    <w:rsid w:val="00F50A00"/>
    <w:rsid w:val="00F511B3"/>
    <w:rsid w:val="00F51215"/>
    <w:rsid w:val="00F52148"/>
    <w:rsid w:val="00F52F20"/>
    <w:rsid w:val="00F61344"/>
    <w:rsid w:val="00F6339B"/>
    <w:rsid w:val="00F656DF"/>
    <w:rsid w:val="00F71073"/>
    <w:rsid w:val="00F736F3"/>
    <w:rsid w:val="00F75325"/>
    <w:rsid w:val="00F810FB"/>
    <w:rsid w:val="00F81D75"/>
    <w:rsid w:val="00F8498E"/>
    <w:rsid w:val="00F85DB4"/>
    <w:rsid w:val="00F87A0D"/>
    <w:rsid w:val="00F909D7"/>
    <w:rsid w:val="00F90BE5"/>
    <w:rsid w:val="00F92D90"/>
    <w:rsid w:val="00F93E28"/>
    <w:rsid w:val="00F94D8C"/>
    <w:rsid w:val="00F966C8"/>
    <w:rsid w:val="00FA12BD"/>
    <w:rsid w:val="00FA215B"/>
    <w:rsid w:val="00FA2A18"/>
    <w:rsid w:val="00FA66E6"/>
    <w:rsid w:val="00FA6A83"/>
    <w:rsid w:val="00FA6E4D"/>
    <w:rsid w:val="00FA6F81"/>
    <w:rsid w:val="00FA74C3"/>
    <w:rsid w:val="00FB1E7A"/>
    <w:rsid w:val="00FB2FA6"/>
    <w:rsid w:val="00FB3C91"/>
    <w:rsid w:val="00FB6373"/>
    <w:rsid w:val="00FB6D99"/>
    <w:rsid w:val="00FB6F5B"/>
    <w:rsid w:val="00FC0EBB"/>
    <w:rsid w:val="00FC0F7D"/>
    <w:rsid w:val="00FC40DD"/>
    <w:rsid w:val="00FC52FB"/>
    <w:rsid w:val="00FD1B3D"/>
    <w:rsid w:val="00FD28F3"/>
    <w:rsid w:val="00FD2AD9"/>
    <w:rsid w:val="00FD333E"/>
    <w:rsid w:val="00FD33D6"/>
    <w:rsid w:val="00FD416E"/>
    <w:rsid w:val="00FD4D41"/>
    <w:rsid w:val="00FD7388"/>
    <w:rsid w:val="00FE0E6E"/>
    <w:rsid w:val="00FE53A2"/>
    <w:rsid w:val="00FE5656"/>
    <w:rsid w:val="00FF30CA"/>
    <w:rsid w:val="00FF4A9A"/>
    <w:rsid w:val="00FF7A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Strong" w:qFormat="1"/>
    <w:lsdException w:name="List Paragraph" w:uiPriority="34" w:qFormat="1"/>
  </w:latentStyles>
  <w:style w:type="paragraph" w:default="1" w:styleId="Normal">
    <w:name w:val="Normal"/>
    <w:qFormat/>
    <w:rsid w:val="00F50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0">
    <w:name w:val="default0"/>
    <w:basedOn w:val="Normal"/>
    <w:rsid w:val="002E1844"/>
    <w:pPr>
      <w:autoSpaceDE w:val="0"/>
      <w:autoSpaceDN w:val="0"/>
    </w:pPr>
    <w:rPr>
      <w:rFonts w:ascii="Arial" w:hAnsi="Arial" w:cs="Arial"/>
      <w:color w:val="000000"/>
    </w:rPr>
  </w:style>
  <w:style w:type="paragraph" w:customStyle="1" w:styleId="Default">
    <w:name w:val="Default"/>
    <w:rsid w:val="006B169A"/>
    <w:pPr>
      <w:autoSpaceDE w:val="0"/>
      <w:autoSpaceDN w:val="0"/>
      <w:adjustRightInd w:val="0"/>
    </w:pPr>
    <w:rPr>
      <w:rFonts w:ascii="Arial" w:hAnsi="Arial" w:cs="Arial"/>
      <w:color w:val="000000"/>
    </w:rPr>
  </w:style>
  <w:style w:type="paragraph" w:styleId="NormalWeb">
    <w:name w:val="Normal (Web)"/>
    <w:basedOn w:val="Normal"/>
    <w:unhideWhenUsed/>
    <w:rsid w:val="00C8144D"/>
    <w:pPr>
      <w:spacing w:before="100" w:beforeAutospacing="1" w:after="100" w:afterAutospacing="1"/>
    </w:pPr>
  </w:style>
  <w:style w:type="character" w:styleId="Strong">
    <w:name w:val="Strong"/>
    <w:basedOn w:val="DefaultParagraphFont"/>
    <w:qFormat/>
    <w:rsid w:val="00C8144D"/>
    <w:rPr>
      <w:b/>
      <w:bCs/>
    </w:rPr>
  </w:style>
  <w:style w:type="table" w:styleId="TableGrid">
    <w:name w:val="Table Grid"/>
    <w:basedOn w:val="TableNormal"/>
    <w:rsid w:val="002E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4ECD"/>
    <w:rPr>
      <w:rFonts w:ascii="Tahoma" w:hAnsi="Tahoma" w:cs="Tahoma"/>
      <w:sz w:val="16"/>
      <w:szCs w:val="16"/>
    </w:rPr>
  </w:style>
  <w:style w:type="character" w:customStyle="1" w:styleId="BalloonTextChar">
    <w:name w:val="Balloon Text Char"/>
    <w:basedOn w:val="DefaultParagraphFont"/>
    <w:link w:val="BalloonText"/>
    <w:rsid w:val="00264ECD"/>
    <w:rPr>
      <w:rFonts w:ascii="Tahoma" w:hAnsi="Tahoma" w:cs="Tahoma"/>
      <w:sz w:val="16"/>
      <w:szCs w:val="16"/>
    </w:rPr>
  </w:style>
  <w:style w:type="paragraph" w:customStyle="1" w:styleId="Subheads">
    <w:name w:val="Subheads"/>
    <w:basedOn w:val="Normal"/>
    <w:rsid w:val="00DB4DDD"/>
    <w:pPr>
      <w:spacing w:before="360" w:after="120" w:line="320" w:lineRule="exact"/>
    </w:pPr>
    <w:rPr>
      <w:rFonts w:ascii="Arial" w:hAnsi="Arial" w:cs="Arial"/>
      <w:color w:val="00A4E4"/>
      <w:sz w:val="32"/>
      <w:szCs w:val="20"/>
    </w:rPr>
  </w:style>
  <w:style w:type="paragraph" w:customStyle="1" w:styleId="Subheadslevel2">
    <w:name w:val="Subheads level 2"/>
    <w:basedOn w:val="Normal"/>
    <w:rsid w:val="00786E1A"/>
    <w:pPr>
      <w:spacing w:before="320" w:after="120" w:line="280" w:lineRule="exact"/>
    </w:pPr>
    <w:rPr>
      <w:rFonts w:ascii="Arial" w:hAnsi="Arial" w:cs="Arial"/>
      <w:b/>
      <w:color w:val="7F7F7F" w:themeColor="text1" w:themeTint="80"/>
      <w:szCs w:val="20"/>
    </w:rPr>
  </w:style>
  <w:style w:type="paragraph" w:customStyle="1" w:styleId="Boldsubheads">
    <w:name w:val="Bold subheads"/>
    <w:basedOn w:val="Normal"/>
    <w:rsid w:val="00216FC0"/>
    <w:pPr>
      <w:spacing w:before="360" w:after="120" w:line="300" w:lineRule="exact"/>
    </w:pPr>
    <w:rPr>
      <w:rFonts w:ascii="Arial" w:hAnsi="Arial" w:cs="Arial"/>
      <w:b/>
      <w:color w:val="7F7F7F" w:themeColor="text1" w:themeTint="80"/>
      <w:sz w:val="20"/>
      <w:szCs w:val="20"/>
    </w:rPr>
  </w:style>
  <w:style w:type="paragraph" w:customStyle="1" w:styleId="Body">
    <w:name w:val="Body"/>
    <w:basedOn w:val="Normal"/>
    <w:rsid w:val="00786E1A"/>
    <w:pPr>
      <w:autoSpaceDE w:val="0"/>
      <w:autoSpaceDN w:val="0"/>
      <w:adjustRightInd w:val="0"/>
      <w:spacing w:after="120" w:line="300" w:lineRule="exact"/>
    </w:pPr>
    <w:rPr>
      <w:rFonts w:ascii="Arial" w:hAnsi="Arial"/>
      <w:color w:val="7F7F7F" w:themeColor="text1" w:themeTint="80"/>
      <w:sz w:val="20"/>
      <w:szCs w:val="19"/>
    </w:rPr>
  </w:style>
  <w:style w:type="paragraph" w:customStyle="1" w:styleId="Textinbox">
    <w:name w:val="Text in box"/>
    <w:basedOn w:val="Normal"/>
    <w:rsid w:val="00786E1A"/>
    <w:pPr>
      <w:autoSpaceDE w:val="0"/>
      <w:autoSpaceDN w:val="0"/>
      <w:adjustRightInd w:val="0"/>
      <w:spacing w:line="300" w:lineRule="exact"/>
    </w:pPr>
    <w:rPr>
      <w:rFonts w:ascii="Arial" w:hAnsi="Arial"/>
      <w:b/>
      <w:color w:val="7F7F7F" w:themeColor="text1" w:themeTint="80"/>
      <w:sz w:val="20"/>
      <w:szCs w:val="19"/>
    </w:rPr>
  </w:style>
  <w:style w:type="paragraph" w:customStyle="1" w:styleId="bullets">
    <w:name w:val="bullets"/>
    <w:basedOn w:val="Normal"/>
    <w:rsid w:val="00786E1A"/>
    <w:pPr>
      <w:numPr>
        <w:numId w:val="3"/>
      </w:numPr>
      <w:spacing w:after="60" w:line="300" w:lineRule="exact"/>
    </w:pPr>
    <w:rPr>
      <w:rFonts w:ascii="Arial" w:hAnsi="Arial"/>
      <w:color w:val="7F7F7F" w:themeColor="text1" w:themeTint="80"/>
      <w:sz w:val="20"/>
    </w:rPr>
  </w:style>
  <w:style w:type="paragraph" w:customStyle="1" w:styleId="Boldbody">
    <w:name w:val="Bold body"/>
    <w:basedOn w:val="Body"/>
    <w:rsid w:val="00786E1A"/>
    <w:rPr>
      <w:b/>
    </w:rPr>
  </w:style>
  <w:style w:type="paragraph" w:customStyle="1" w:styleId="numberbullets">
    <w:name w:val="number bullets"/>
    <w:basedOn w:val="ListParagraph"/>
    <w:rsid w:val="00786E1A"/>
    <w:pPr>
      <w:numPr>
        <w:numId w:val="4"/>
      </w:numPr>
      <w:spacing w:before="60" w:after="120" w:line="300" w:lineRule="exact"/>
      <w:ind w:left="284" w:hanging="284"/>
      <w:contextualSpacing w:val="0"/>
    </w:pPr>
    <w:rPr>
      <w:rFonts w:ascii="Arial" w:hAnsi="Arial" w:cs="Arial"/>
      <w:color w:val="7F7F7F" w:themeColor="text1" w:themeTint="80"/>
      <w:sz w:val="20"/>
      <w:szCs w:val="20"/>
    </w:rPr>
  </w:style>
  <w:style w:type="paragraph" w:styleId="ListParagraph">
    <w:name w:val="List Paragraph"/>
    <w:basedOn w:val="Normal"/>
    <w:uiPriority w:val="34"/>
    <w:qFormat/>
    <w:rsid w:val="00786E1A"/>
    <w:pPr>
      <w:ind w:left="720"/>
      <w:contextualSpacing/>
    </w:pPr>
  </w:style>
  <w:style w:type="character" w:styleId="Hyperlink">
    <w:name w:val="Hyperlink"/>
    <w:rsid w:val="006F0208"/>
    <w:rPr>
      <w:color w:val="0000FF"/>
      <w:u w:val="single"/>
    </w:rPr>
  </w:style>
  <w:style w:type="character" w:customStyle="1" w:styleId="apple-converted-space">
    <w:name w:val="apple-converted-space"/>
    <w:basedOn w:val="DefaultParagraphFont"/>
    <w:rsid w:val="006F0208"/>
  </w:style>
  <w:style w:type="paragraph" w:customStyle="1" w:styleId="dashes">
    <w:name w:val="dashes"/>
    <w:basedOn w:val="Body"/>
    <w:rsid w:val="006F0208"/>
    <w:pPr>
      <w:numPr>
        <w:numId w:val="20"/>
      </w:numPr>
      <w:ind w:left="567"/>
    </w:pPr>
  </w:style>
  <w:style w:type="character" w:styleId="FollowedHyperlink">
    <w:name w:val="FollowedHyperlink"/>
    <w:basedOn w:val="DefaultParagraphFont"/>
    <w:rsid w:val="006F0208"/>
    <w:rPr>
      <w:color w:val="800080" w:themeColor="followedHyperlink"/>
      <w:u w:val="single"/>
    </w:rPr>
  </w:style>
  <w:style w:type="character" w:styleId="CommentReference">
    <w:name w:val="annotation reference"/>
    <w:basedOn w:val="DefaultParagraphFont"/>
    <w:rsid w:val="009F548D"/>
    <w:rPr>
      <w:sz w:val="16"/>
      <w:szCs w:val="16"/>
    </w:rPr>
  </w:style>
  <w:style w:type="paragraph" w:styleId="CommentText">
    <w:name w:val="annotation text"/>
    <w:basedOn w:val="Normal"/>
    <w:link w:val="CommentTextChar"/>
    <w:rsid w:val="009F548D"/>
    <w:rPr>
      <w:sz w:val="20"/>
      <w:szCs w:val="20"/>
    </w:rPr>
  </w:style>
  <w:style w:type="character" w:customStyle="1" w:styleId="CommentTextChar">
    <w:name w:val="Comment Text Char"/>
    <w:basedOn w:val="DefaultParagraphFont"/>
    <w:link w:val="CommentText"/>
    <w:rsid w:val="009F548D"/>
    <w:rPr>
      <w:sz w:val="20"/>
      <w:szCs w:val="20"/>
    </w:rPr>
  </w:style>
  <w:style w:type="paragraph" w:styleId="CommentSubject">
    <w:name w:val="annotation subject"/>
    <w:basedOn w:val="CommentText"/>
    <w:next w:val="CommentText"/>
    <w:link w:val="CommentSubjectChar"/>
    <w:rsid w:val="009F548D"/>
    <w:rPr>
      <w:b/>
      <w:bCs/>
    </w:rPr>
  </w:style>
  <w:style w:type="character" w:customStyle="1" w:styleId="CommentSubjectChar">
    <w:name w:val="Comment Subject Char"/>
    <w:basedOn w:val="CommentTextChar"/>
    <w:link w:val="CommentSubject"/>
    <w:rsid w:val="009F548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Strong" w:qFormat="1"/>
    <w:lsdException w:name="List Paragraph" w:uiPriority="34" w:qFormat="1"/>
  </w:latentStyles>
  <w:style w:type="paragraph" w:default="1" w:styleId="Normal">
    <w:name w:val="Normal"/>
    <w:qFormat/>
    <w:rsid w:val="00F50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0">
    <w:name w:val="default0"/>
    <w:basedOn w:val="Normal"/>
    <w:rsid w:val="002E1844"/>
    <w:pPr>
      <w:autoSpaceDE w:val="0"/>
      <w:autoSpaceDN w:val="0"/>
    </w:pPr>
    <w:rPr>
      <w:rFonts w:ascii="Arial" w:hAnsi="Arial" w:cs="Arial"/>
      <w:color w:val="000000"/>
    </w:rPr>
  </w:style>
  <w:style w:type="paragraph" w:customStyle="1" w:styleId="Default">
    <w:name w:val="Default"/>
    <w:rsid w:val="006B169A"/>
    <w:pPr>
      <w:autoSpaceDE w:val="0"/>
      <w:autoSpaceDN w:val="0"/>
      <w:adjustRightInd w:val="0"/>
    </w:pPr>
    <w:rPr>
      <w:rFonts w:ascii="Arial" w:hAnsi="Arial" w:cs="Arial"/>
      <w:color w:val="000000"/>
    </w:rPr>
  </w:style>
  <w:style w:type="paragraph" w:styleId="NormalWeb">
    <w:name w:val="Normal (Web)"/>
    <w:basedOn w:val="Normal"/>
    <w:unhideWhenUsed/>
    <w:rsid w:val="00C8144D"/>
    <w:pPr>
      <w:spacing w:before="100" w:beforeAutospacing="1" w:after="100" w:afterAutospacing="1"/>
    </w:pPr>
  </w:style>
  <w:style w:type="character" w:styleId="Strong">
    <w:name w:val="Strong"/>
    <w:basedOn w:val="DefaultParagraphFont"/>
    <w:qFormat/>
    <w:rsid w:val="00C8144D"/>
    <w:rPr>
      <w:b/>
      <w:bCs/>
    </w:rPr>
  </w:style>
  <w:style w:type="table" w:styleId="TableGrid">
    <w:name w:val="Table Grid"/>
    <w:basedOn w:val="TableNormal"/>
    <w:rsid w:val="002E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4ECD"/>
    <w:rPr>
      <w:rFonts w:ascii="Tahoma" w:hAnsi="Tahoma" w:cs="Tahoma"/>
      <w:sz w:val="16"/>
      <w:szCs w:val="16"/>
    </w:rPr>
  </w:style>
  <w:style w:type="character" w:customStyle="1" w:styleId="BalloonTextChar">
    <w:name w:val="Balloon Text Char"/>
    <w:basedOn w:val="DefaultParagraphFont"/>
    <w:link w:val="BalloonText"/>
    <w:rsid w:val="00264ECD"/>
    <w:rPr>
      <w:rFonts w:ascii="Tahoma" w:hAnsi="Tahoma" w:cs="Tahoma"/>
      <w:sz w:val="16"/>
      <w:szCs w:val="16"/>
    </w:rPr>
  </w:style>
  <w:style w:type="paragraph" w:customStyle="1" w:styleId="Subheads">
    <w:name w:val="Subheads"/>
    <w:basedOn w:val="Normal"/>
    <w:rsid w:val="00DB4DDD"/>
    <w:pPr>
      <w:spacing w:before="360" w:after="120" w:line="320" w:lineRule="exact"/>
    </w:pPr>
    <w:rPr>
      <w:rFonts w:ascii="Arial" w:hAnsi="Arial" w:cs="Arial"/>
      <w:color w:val="00A4E4"/>
      <w:sz w:val="32"/>
      <w:szCs w:val="20"/>
    </w:rPr>
  </w:style>
  <w:style w:type="paragraph" w:customStyle="1" w:styleId="Subheadslevel2">
    <w:name w:val="Subheads level 2"/>
    <w:basedOn w:val="Normal"/>
    <w:rsid w:val="00786E1A"/>
    <w:pPr>
      <w:spacing w:before="320" w:after="120" w:line="280" w:lineRule="exact"/>
    </w:pPr>
    <w:rPr>
      <w:rFonts w:ascii="Arial" w:hAnsi="Arial" w:cs="Arial"/>
      <w:b/>
      <w:color w:val="7F7F7F" w:themeColor="text1" w:themeTint="80"/>
      <w:szCs w:val="20"/>
    </w:rPr>
  </w:style>
  <w:style w:type="paragraph" w:customStyle="1" w:styleId="Boldsubheads">
    <w:name w:val="Bold subheads"/>
    <w:basedOn w:val="Normal"/>
    <w:rsid w:val="00216FC0"/>
    <w:pPr>
      <w:spacing w:before="360" w:after="120" w:line="300" w:lineRule="exact"/>
    </w:pPr>
    <w:rPr>
      <w:rFonts w:ascii="Arial" w:hAnsi="Arial" w:cs="Arial"/>
      <w:b/>
      <w:color w:val="7F7F7F" w:themeColor="text1" w:themeTint="80"/>
      <w:sz w:val="20"/>
      <w:szCs w:val="20"/>
    </w:rPr>
  </w:style>
  <w:style w:type="paragraph" w:customStyle="1" w:styleId="Body">
    <w:name w:val="Body"/>
    <w:basedOn w:val="Normal"/>
    <w:rsid w:val="00786E1A"/>
    <w:pPr>
      <w:autoSpaceDE w:val="0"/>
      <w:autoSpaceDN w:val="0"/>
      <w:adjustRightInd w:val="0"/>
      <w:spacing w:after="120" w:line="300" w:lineRule="exact"/>
    </w:pPr>
    <w:rPr>
      <w:rFonts w:ascii="Arial" w:hAnsi="Arial"/>
      <w:color w:val="7F7F7F" w:themeColor="text1" w:themeTint="80"/>
      <w:sz w:val="20"/>
      <w:szCs w:val="19"/>
    </w:rPr>
  </w:style>
  <w:style w:type="paragraph" w:customStyle="1" w:styleId="Textinbox">
    <w:name w:val="Text in box"/>
    <w:basedOn w:val="Normal"/>
    <w:rsid w:val="00786E1A"/>
    <w:pPr>
      <w:autoSpaceDE w:val="0"/>
      <w:autoSpaceDN w:val="0"/>
      <w:adjustRightInd w:val="0"/>
      <w:spacing w:line="300" w:lineRule="exact"/>
    </w:pPr>
    <w:rPr>
      <w:rFonts w:ascii="Arial" w:hAnsi="Arial"/>
      <w:b/>
      <w:color w:val="7F7F7F" w:themeColor="text1" w:themeTint="80"/>
      <w:sz w:val="20"/>
      <w:szCs w:val="19"/>
    </w:rPr>
  </w:style>
  <w:style w:type="paragraph" w:customStyle="1" w:styleId="bullets">
    <w:name w:val="bullets"/>
    <w:basedOn w:val="Normal"/>
    <w:rsid w:val="00786E1A"/>
    <w:pPr>
      <w:numPr>
        <w:numId w:val="3"/>
      </w:numPr>
      <w:spacing w:after="60" w:line="300" w:lineRule="exact"/>
    </w:pPr>
    <w:rPr>
      <w:rFonts w:ascii="Arial" w:hAnsi="Arial"/>
      <w:color w:val="7F7F7F" w:themeColor="text1" w:themeTint="80"/>
      <w:sz w:val="20"/>
    </w:rPr>
  </w:style>
  <w:style w:type="paragraph" w:customStyle="1" w:styleId="Boldbody">
    <w:name w:val="Bold body"/>
    <w:basedOn w:val="Body"/>
    <w:rsid w:val="00786E1A"/>
    <w:rPr>
      <w:b/>
    </w:rPr>
  </w:style>
  <w:style w:type="paragraph" w:customStyle="1" w:styleId="numberbullets">
    <w:name w:val="number bullets"/>
    <w:basedOn w:val="ListParagraph"/>
    <w:rsid w:val="00786E1A"/>
    <w:pPr>
      <w:numPr>
        <w:numId w:val="4"/>
      </w:numPr>
      <w:spacing w:before="60" w:after="120" w:line="300" w:lineRule="exact"/>
      <w:ind w:left="284" w:hanging="284"/>
      <w:contextualSpacing w:val="0"/>
    </w:pPr>
    <w:rPr>
      <w:rFonts w:ascii="Arial" w:hAnsi="Arial" w:cs="Arial"/>
      <w:color w:val="7F7F7F" w:themeColor="text1" w:themeTint="80"/>
      <w:sz w:val="20"/>
      <w:szCs w:val="20"/>
    </w:rPr>
  </w:style>
  <w:style w:type="paragraph" w:styleId="ListParagraph">
    <w:name w:val="List Paragraph"/>
    <w:basedOn w:val="Normal"/>
    <w:uiPriority w:val="34"/>
    <w:qFormat/>
    <w:rsid w:val="00786E1A"/>
    <w:pPr>
      <w:ind w:left="720"/>
      <w:contextualSpacing/>
    </w:pPr>
  </w:style>
  <w:style w:type="character" w:styleId="Hyperlink">
    <w:name w:val="Hyperlink"/>
    <w:rsid w:val="006F0208"/>
    <w:rPr>
      <w:color w:val="0000FF"/>
      <w:u w:val="single"/>
    </w:rPr>
  </w:style>
  <w:style w:type="character" w:customStyle="1" w:styleId="apple-converted-space">
    <w:name w:val="apple-converted-space"/>
    <w:basedOn w:val="DefaultParagraphFont"/>
    <w:rsid w:val="006F0208"/>
  </w:style>
  <w:style w:type="paragraph" w:customStyle="1" w:styleId="dashes">
    <w:name w:val="dashes"/>
    <w:basedOn w:val="Body"/>
    <w:rsid w:val="006F0208"/>
    <w:pPr>
      <w:numPr>
        <w:numId w:val="20"/>
      </w:numPr>
      <w:ind w:left="567"/>
    </w:pPr>
  </w:style>
  <w:style w:type="character" w:styleId="FollowedHyperlink">
    <w:name w:val="FollowedHyperlink"/>
    <w:basedOn w:val="DefaultParagraphFont"/>
    <w:rsid w:val="006F0208"/>
    <w:rPr>
      <w:color w:val="800080" w:themeColor="followedHyperlink"/>
      <w:u w:val="single"/>
    </w:rPr>
  </w:style>
  <w:style w:type="character" w:styleId="CommentReference">
    <w:name w:val="annotation reference"/>
    <w:basedOn w:val="DefaultParagraphFont"/>
    <w:rsid w:val="009F548D"/>
    <w:rPr>
      <w:sz w:val="16"/>
      <w:szCs w:val="16"/>
    </w:rPr>
  </w:style>
  <w:style w:type="paragraph" w:styleId="CommentText">
    <w:name w:val="annotation text"/>
    <w:basedOn w:val="Normal"/>
    <w:link w:val="CommentTextChar"/>
    <w:rsid w:val="009F548D"/>
    <w:rPr>
      <w:sz w:val="20"/>
      <w:szCs w:val="20"/>
    </w:rPr>
  </w:style>
  <w:style w:type="character" w:customStyle="1" w:styleId="CommentTextChar">
    <w:name w:val="Comment Text Char"/>
    <w:basedOn w:val="DefaultParagraphFont"/>
    <w:link w:val="CommentText"/>
    <w:rsid w:val="009F548D"/>
    <w:rPr>
      <w:sz w:val="20"/>
      <w:szCs w:val="20"/>
    </w:rPr>
  </w:style>
  <w:style w:type="paragraph" w:styleId="CommentSubject">
    <w:name w:val="annotation subject"/>
    <w:basedOn w:val="CommentText"/>
    <w:next w:val="CommentText"/>
    <w:link w:val="CommentSubjectChar"/>
    <w:rsid w:val="009F548D"/>
    <w:rPr>
      <w:b/>
      <w:bCs/>
    </w:rPr>
  </w:style>
  <w:style w:type="character" w:customStyle="1" w:styleId="CommentSubjectChar">
    <w:name w:val="Comment Subject Char"/>
    <w:basedOn w:val="CommentTextChar"/>
    <w:link w:val="CommentSubject"/>
    <w:rsid w:val="009F54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9633">
      <w:bodyDiv w:val="1"/>
      <w:marLeft w:val="0"/>
      <w:marRight w:val="0"/>
      <w:marTop w:val="0"/>
      <w:marBottom w:val="0"/>
      <w:divBdr>
        <w:top w:val="none" w:sz="0" w:space="0" w:color="auto"/>
        <w:left w:val="none" w:sz="0" w:space="0" w:color="auto"/>
        <w:bottom w:val="none" w:sz="0" w:space="0" w:color="auto"/>
        <w:right w:val="none" w:sz="0" w:space="0" w:color="auto"/>
      </w:divBdr>
    </w:div>
    <w:div w:id="209152918">
      <w:bodyDiv w:val="1"/>
      <w:marLeft w:val="0"/>
      <w:marRight w:val="0"/>
      <w:marTop w:val="0"/>
      <w:marBottom w:val="0"/>
      <w:divBdr>
        <w:top w:val="none" w:sz="0" w:space="0" w:color="auto"/>
        <w:left w:val="none" w:sz="0" w:space="0" w:color="auto"/>
        <w:bottom w:val="none" w:sz="0" w:space="0" w:color="auto"/>
        <w:right w:val="none" w:sz="0" w:space="0" w:color="auto"/>
      </w:divBdr>
    </w:div>
    <w:div w:id="955940698">
      <w:bodyDiv w:val="1"/>
      <w:marLeft w:val="0"/>
      <w:marRight w:val="0"/>
      <w:marTop w:val="0"/>
      <w:marBottom w:val="0"/>
      <w:divBdr>
        <w:top w:val="none" w:sz="0" w:space="0" w:color="auto"/>
        <w:left w:val="none" w:sz="0" w:space="0" w:color="auto"/>
        <w:bottom w:val="none" w:sz="0" w:space="0" w:color="auto"/>
        <w:right w:val="none" w:sz="0" w:space="0" w:color="auto"/>
      </w:divBdr>
      <w:divsChild>
        <w:div w:id="1845393102">
          <w:marLeft w:val="0"/>
          <w:marRight w:val="0"/>
          <w:marTop w:val="0"/>
          <w:marBottom w:val="0"/>
          <w:divBdr>
            <w:top w:val="none" w:sz="0" w:space="0" w:color="auto"/>
            <w:left w:val="none" w:sz="0" w:space="0" w:color="auto"/>
            <w:bottom w:val="none" w:sz="0" w:space="0" w:color="auto"/>
            <w:right w:val="none" w:sz="0" w:space="0" w:color="auto"/>
          </w:divBdr>
        </w:div>
        <w:div w:id="1692485632">
          <w:marLeft w:val="0"/>
          <w:marRight w:val="0"/>
          <w:marTop w:val="0"/>
          <w:marBottom w:val="0"/>
          <w:divBdr>
            <w:top w:val="none" w:sz="0" w:space="0" w:color="auto"/>
            <w:left w:val="none" w:sz="0" w:space="0" w:color="auto"/>
            <w:bottom w:val="none" w:sz="0" w:space="0" w:color="auto"/>
            <w:right w:val="none" w:sz="0" w:space="0" w:color="auto"/>
          </w:divBdr>
        </w:div>
        <w:div w:id="1419980583">
          <w:marLeft w:val="0"/>
          <w:marRight w:val="0"/>
          <w:marTop w:val="0"/>
          <w:marBottom w:val="0"/>
          <w:divBdr>
            <w:top w:val="none" w:sz="0" w:space="0" w:color="auto"/>
            <w:left w:val="none" w:sz="0" w:space="0" w:color="auto"/>
            <w:bottom w:val="none" w:sz="0" w:space="0" w:color="auto"/>
            <w:right w:val="none" w:sz="0" w:space="0" w:color="auto"/>
          </w:divBdr>
        </w:div>
        <w:div w:id="2082751444">
          <w:marLeft w:val="0"/>
          <w:marRight w:val="0"/>
          <w:marTop w:val="0"/>
          <w:marBottom w:val="0"/>
          <w:divBdr>
            <w:top w:val="none" w:sz="0" w:space="0" w:color="auto"/>
            <w:left w:val="none" w:sz="0" w:space="0" w:color="auto"/>
            <w:bottom w:val="none" w:sz="0" w:space="0" w:color="auto"/>
            <w:right w:val="none" w:sz="0" w:space="0" w:color="auto"/>
          </w:divBdr>
        </w:div>
      </w:divsChild>
    </w:div>
    <w:div w:id="1169633980">
      <w:bodyDiv w:val="1"/>
      <w:marLeft w:val="0"/>
      <w:marRight w:val="0"/>
      <w:marTop w:val="0"/>
      <w:marBottom w:val="0"/>
      <w:divBdr>
        <w:top w:val="none" w:sz="0" w:space="0" w:color="auto"/>
        <w:left w:val="none" w:sz="0" w:space="0" w:color="auto"/>
        <w:bottom w:val="none" w:sz="0" w:space="0" w:color="auto"/>
        <w:right w:val="none" w:sz="0" w:space="0" w:color="auto"/>
      </w:divBdr>
    </w:div>
    <w:div w:id="1697852294">
      <w:bodyDiv w:val="1"/>
      <w:marLeft w:val="0"/>
      <w:marRight w:val="0"/>
      <w:marTop w:val="0"/>
      <w:marBottom w:val="0"/>
      <w:divBdr>
        <w:top w:val="none" w:sz="0" w:space="0" w:color="auto"/>
        <w:left w:val="none" w:sz="0" w:space="0" w:color="auto"/>
        <w:bottom w:val="none" w:sz="0" w:space="0" w:color="auto"/>
        <w:right w:val="none" w:sz="0" w:space="0" w:color="auto"/>
      </w:divBdr>
      <w:divsChild>
        <w:div w:id="1685595612">
          <w:marLeft w:val="0"/>
          <w:marRight w:val="0"/>
          <w:marTop w:val="0"/>
          <w:marBottom w:val="0"/>
          <w:divBdr>
            <w:top w:val="none" w:sz="0" w:space="0" w:color="auto"/>
            <w:left w:val="none" w:sz="0" w:space="0" w:color="auto"/>
            <w:bottom w:val="none" w:sz="0" w:space="0" w:color="auto"/>
            <w:right w:val="none" w:sz="0" w:space="0" w:color="auto"/>
          </w:divBdr>
        </w:div>
        <w:div w:id="2128507297">
          <w:marLeft w:val="0"/>
          <w:marRight w:val="0"/>
          <w:marTop w:val="0"/>
          <w:marBottom w:val="0"/>
          <w:divBdr>
            <w:top w:val="none" w:sz="0" w:space="0" w:color="auto"/>
            <w:left w:val="none" w:sz="0" w:space="0" w:color="auto"/>
            <w:bottom w:val="none" w:sz="0" w:space="0" w:color="auto"/>
            <w:right w:val="none" w:sz="0" w:space="0" w:color="auto"/>
          </w:divBdr>
        </w:div>
        <w:div w:id="1344094703">
          <w:marLeft w:val="0"/>
          <w:marRight w:val="0"/>
          <w:marTop w:val="0"/>
          <w:marBottom w:val="0"/>
          <w:divBdr>
            <w:top w:val="none" w:sz="0" w:space="0" w:color="auto"/>
            <w:left w:val="none" w:sz="0" w:space="0" w:color="auto"/>
            <w:bottom w:val="none" w:sz="0" w:space="0" w:color="auto"/>
            <w:right w:val="none" w:sz="0" w:space="0" w:color="auto"/>
          </w:divBdr>
        </w:div>
        <w:div w:id="54398963">
          <w:marLeft w:val="0"/>
          <w:marRight w:val="0"/>
          <w:marTop w:val="0"/>
          <w:marBottom w:val="0"/>
          <w:divBdr>
            <w:top w:val="none" w:sz="0" w:space="0" w:color="auto"/>
            <w:left w:val="none" w:sz="0" w:space="0" w:color="auto"/>
            <w:bottom w:val="none" w:sz="0" w:space="0" w:color="auto"/>
            <w:right w:val="none" w:sz="0" w:space="0" w:color="auto"/>
          </w:divBdr>
        </w:div>
      </w:divsChild>
    </w:div>
    <w:div w:id="1808694509">
      <w:bodyDiv w:val="1"/>
      <w:marLeft w:val="0"/>
      <w:marRight w:val="0"/>
      <w:marTop w:val="0"/>
      <w:marBottom w:val="0"/>
      <w:divBdr>
        <w:top w:val="none" w:sz="0" w:space="0" w:color="auto"/>
        <w:left w:val="none" w:sz="0" w:space="0" w:color="auto"/>
        <w:bottom w:val="none" w:sz="0" w:space="0" w:color="auto"/>
        <w:right w:val="none" w:sz="0" w:space="0" w:color="auto"/>
      </w:divBdr>
      <w:divsChild>
        <w:div w:id="1266117297">
          <w:marLeft w:val="0"/>
          <w:marRight w:val="0"/>
          <w:marTop w:val="0"/>
          <w:marBottom w:val="0"/>
          <w:divBdr>
            <w:top w:val="none" w:sz="0" w:space="0" w:color="auto"/>
            <w:left w:val="none" w:sz="0" w:space="0" w:color="auto"/>
            <w:bottom w:val="none" w:sz="0" w:space="0" w:color="auto"/>
            <w:right w:val="none" w:sz="0" w:space="0" w:color="auto"/>
          </w:divBdr>
        </w:div>
        <w:div w:id="999772332">
          <w:marLeft w:val="0"/>
          <w:marRight w:val="0"/>
          <w:marTop w:val="0"/>
          <w:marBottom w:val="0"/>
          <w:divBdr>
            <w:top w:val="none" w:sz="0" w:space="0" w:color="auto"/>
            <w:left w:val="none" w:sz="0" w:space="0" w:color="auto"/>
            <w:bottom w:val="none" w:sz="0" w:space="0" w:color="auto"/>
            <w:right w:val="none" w:sz="0" w:space="0" w:color="auto"/>
          </w:divBdr>
        </w:div>
        <w:div w:id="2138185178">
          <w:marLeft w:val="0"/>
          <w:marRight w:val="0"/>
          <w:marTop w:val="0"/>
          <w:marBottom w:val="0"/>
          <w:divBdr>
            <w:top w:val="none" w:sz="0" w:space="0" w:color="auto"/>
            <w:left w:val="none" w:sz="0" w:space="0" w:color="auto"/>
            <w:bottom w:val="none" w:sz="0" w:space="0" w:color="auto"/>
            <w:right w:val="none" w:sz="0" w:space="0" w:color="auto"/>
          </w:divBdr>
        </w:div>
        <w:div w:id="1327439378">
          <w:marLeft w:val="0"/>
          <w:marRight w:val="0"/>
          <w:marTop w:val="0"/>
          <w:marBottom w:val="0"/>
          <w:divBdr>
            <w:top w:val="none" w:sz="0" w:space="0" w:color="auto"/>
            <w:left w:val="none" w:sz="0" w:space="0" w:color="auto"/>
            <w:bottom w:val="none" w:sz="0" w:space="0" w:color="auto"/>
            <w:right w:val="none" w:sz="0" w:space="0" w:color="auto"/>
          </w:divBdr>
        </w:div>
        <w:div w:id="653800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2502</Words>
  <Characters>14263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American International Group</Company>
  <LinksUpToDate>false</LinksUpToDate>
  <CharactersWithSpaces>16732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SHOUSEGO@R3-core.R3.aig.net</dc:creator>
  <cp:lastModifiedBy>Catherine Goss</cp:lastModifiedBy>
  <cp:revision>2</cp:revision>
  <cp:lastPrinted>2015-06-19T10:05:00Z</cp:lastPrinted>
  <dcterms:created xsi:type="dcterms:W3CDTF">2016-04-05T14:14:00Z</dcterms:created>
  <dcterms:modified xsi:type="dcterms:W3CDTF">2016-04-05T14:14:00Z</dcterms:modified>
</cp:coreProperties>
</file>